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sv-SE" w:eastAsia="sv-SE"/>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6C907"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Rubrik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sv-SE" w:eastAsia="sv-SE"/>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Rubrik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Rubrik3"/>
        <w:rPr>
          <w:i/>
          <w:sz w:val="24"/>
          <w:szCs w:val="24"/>
          <w:lang w:val="fr-FR"/>
        </w:rPr>
      </w:pPr>
      <w:r w:rsidRPr="0073314A">
        <w:rPr>
          <w:color w:val="00558C"/>
          <w:sz w:val="22"/>
          <w:szCs w:val="22"/>
          <w:lang w:val="fr-FR"/>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Rubrik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1B1DBF" w:rsidRDefault="00107894" w:rsidP="00A658FA">
      <w:pPr>
        <w:pStyle w:val="Textedesaisie"/>
        <w:rPr>
          <w:lang w:val="es-ES"/>
        </w:rPr>
        <w:sectPr w:rsidR="00107894" w:rsidRPr="001B1DBF" w:rsidSect="00317462">
          <w:pgSz w:w="11906" w:h="16838" w:code="9"/>
          <w:pgMar w:top="397" w:right="765" w:bottom="567" w:left="907" w:header="567" w:footer="510" w:gutter="0"/>
          <w:cols w:num="3" w:space="482"/>
          <w:titlePg/>
          <w:docGrid w:linePitch="360"/>
        </w:sectPr>
      </w:pPr>
    </w:p>
    <w:p w14:paraId="22B802E1" w14:textId="4A28573B" w:rsidR="00FA5CB2" w:rsidRPr="00967710" w:rsidRDefault="00FA5CB2" w:rsidP="00FA5CB2">
      <w:pPr>
        <w:pStyle w:val="Textedesaisie"/>
        <w:jc w:val="center"/>
        <w:rPr>
          <w:rFonts w:ascii="Avenir LT Std 65 Medium" w:hAnsi="Avenir LT Std 65 Medium"/>
          <w:color w:val="auto"/>
          <w:sz w:val="24"/>
          <w:szCs w:val="24"/>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085349C8" w14:textId="0B9C92D9" w:rsidR="00FA5CB2" w:rsidRPr="0093546B" w:rsidRDefault="001B20BB" w:rsidP="001B20BB">
      <w:pPr>
        <w:pStyle w:val="Textedesaisie"/>
        <w:jc w:val="right"/>
        <w:rPr>
          <w:rFonts w:ascii="Avenir LT Std 65 Medium" w:hAnsi="Avenir LT Std 65 Medium"/>
          <w:b/>
          <w:color w:val="00558C"/>
          <w:sz w:val="20"/>
          <w:szCs w:val="20"/>
          <w:lang w:val="fr-FR"/>
        </w:rPr>
      </w:pPr>
      <w:r w:rsidRPr="00967710">
        <w:rPr>
          <w:rFonts w:ascii="Avenir LT Std 65 Medium" w:hAnsi="Avenir LT Std 65 Medium"/>
          <w:b/>
          <w:color w:val="auto"/>
          <w:sz w:val="20"/>
          <w:szCs w:val="20"/>
          <w:lang w:val="fr-FR"/>
        </w:rPr>
        <w:t xml:space="preserve">Topic No.: / Sujet n° : </w:t>
      </w:r>
      <w:r w:rsidR="00A248C6">
        <w:rPr>
          <w:rFonts w:ascii="Avenir LT Std 65 Medium" w:hAnsi="Avenir LT Std 65 Medium"/>
          <w:b/>
          <w:color w:val="00558C"/>
          <w:sz w:val="20"/>
          <w:szCs w:val="20"/>
          <w:lang w:val="fr-FR"/>
        </w:rPr>
        <w:t>5 / 10</w:t>
      </w:r>
      <w:r w:rsidR="0093546B" w:rsidRPr="0093546B">
        <w:rPr>
          <w:rFonts w:ascii="Avenir LT Std 65 Medium" w:hAnsi="Avenir LT Std 65 Medium"/>
          <w:b/>
          <w:color w:val="00558C"/>
          <w:sz w:val="20"/>
          <w:szCs w:val="20"/>
          <w:lang w:val="fr-FR"/>
        </w:rPr>
        <w:t xml:space="preserve"> </w:t>
      </w:r>
      <w:r w:rsidR="0093546B" w:rsidRPr="00967710">
        <w:rPr>
          <w:rFonts w:ascii="Avenir LT Std 65 Medium" w:hAnsi="Avenir LT Std 65 Medium"/>
          <w:b/>
          <w:color w:val="auto"/>
          <w:sz w:val="20"/>
          <w:szCs w:val="20"/>
          <w:lang w:val="fr-FR"/>
        </w:rPr>
        <w:t>or / ou</w:t>
      </w:r>
    </w:p>
    <w:p w14:paraId="7E42418A" w14:textId="0D3BD112" w:rsidR="004117D7" w:rsidRPr="001B1DBF" w:rsidRDefault="004117D7" w:rsidP="001B20BB">
      <w:pPr>
        <w:pStyle w:val="Textedesaisie"/>
        <w:jc w:val="right"/>
        <w:rPr>
          <w:rFonts w:ascii="Avenir LT Std 65 Medium" w:hAnsi="Avenir LT Std 65 Medium"/>
          <w:b/>
          <w:color w:val="00558C"/>
          <w:sz w:val="20"/>
          <w:szCs w:val="20"/>
        </w:rPr>
      </w:pPr>
      <w:proofErr w:type="gramStart"/>
      <w:r w:rsidRPr="001B1DBF">
        <w:rPr>
          <w:rFonts w:ascii="Avenir LT Std 65 Medium" w:hAnsi="Avenir LT Std 65 Medium"/>
          <w:b/>
          <w:color w:val="auto"/>
          <w:sz w:val="20"/>
          <w:szCs w:val="20"/>
        </w:rPr>
        <w:t>proposed</w:t>
      </w:r>
      <w:proofErr w:type="gramEnd"/>
      <w:r w:rsidRPr="001B1DBF">
        <w:rPr>
          <w:rFonts w:ascii="Avenir LT Std 65 Medium" w:hAnsi="Avenir LT Std 65 Medium"/>
          <w:b/>
          <w:color w:val="auto"/>
          <w:sz w:val="20"/>
          <w:szCs w:val="20"/>
        </w:rPr>
        <w:t xml:space="preserve"> topic / </w:t>
      </w:r>
      <w:proofErr w:type="spellStart"/>
      <w:r w:rsidRPr="001B1DBF">
        <w:rPr>
          <w:rFonts w:ascii="Avenir LT Std 65 Medium" w:hAnsi="Avenir LT Std 65 Medium"/>
          <w:b/>
          <w:color w:val="auto"/>
          <w:sz w:val="20"/>
          <w:szCs w:val="20"/>
        </w:rPr>
        <w:t>sujet</w:t>
      </w:r>
      <w:proofErr w:type="spellEnd"/>
      <w:r w:rsidRPr="001B1DBF">
        <w:rPr>
          <w:rFonts w:ascii="Avenir LT Std 65 Medium" w:hAnsi="Avenir LT Std 65 Medium"/>
          <w:b/>
          <w:color w:val="auto"/>
          <w:sz w:val="20"/>
          <w:szCs w:val="20"/>
        </w:rPr>
        <w:t xml:space="preserve"> </w:t>
      </w:r>
      <w:proofErr w:type="spellStart"/>
      <w:r w:rsidRPr="001B1DBF">
        <w:rPr>
          <w:rFonts w:ascii="Avenir LT Std 65 Medium" w:hAnsi="Avenir LT Std 65 Medium"/>
          <w:b/>
          <w:color w:val="auto"/>
          <w:sz w:val="20"/>
          <w:szCs w:val="20"/>
        </w:rPr>
        <w:t>proposé</w:t>
      </w:r>
      <w:proofErr w:type="spellEnd"/>
      <w:r w:rsidRPr="001B1DBF">
        <w:rPr>
          <w:rFonts w:ascii="Avenir LT Std 65 Medium" w:hAnsi="Avenir LT Std 65 Medium"/>
          <w:b/>
          <w:color w:val="auto"/>
          <w:sz w:val="20"/>
          <w:szCs w:val="20"/>
        </w:rPr>
        <w:t>:</w:t>
      </w:r>
      <w:r w:rsidR="0093546B" w:rsidRPr="001B1DBF">
        <w:rPr>
          <w:rFonts w:ascii="Avenir LT Std 65 Medium" w:hAnsi="Avenir LT Std 65 Medium"/>
          <w:b/>
          <w:color w:val="auto"/>
          <w:sz w:val="20"/>
          <w:szCs w:val="20"/>
        </w:rPr>
        <w:t xml:space="preserve"> </w:t>
      </w:r>
      <w:r w:rsidR="001B1DBF">
        <w:rPr>
          <w:rFonts w:ascii="Avenir LT Std 65 Medium" w:hAnsi="Avenir LT Std 65 Medium"/>
          <w:b/>
          <w:i/>
          <w:color w:val="00558C"/>
          <w:sz w:val="20"/>
          <w:szCs w:val="20"/>
        </w:rPr>
        <w:t xml:space="preserve">Voyage Exchange </w:t>
      </w:r>
      <w:r w:rsidR="0073314A">
        <w:rPr>
          <w:rFonts w:ascii="Avenir LT Std 65 Medium" w:hAnsi="Avenir LT Std 65 Medium"/>
          <w:b/>
          <w:i/>
          <w:color w:val="00558C"/>
          <w:sz w:val="20"/>
          <w:szCs w:val="20"/>
        </w:rPr>
        <w:t xml:space="preserve">between </w:t>
      </w:r>
      <w:r w:rsidR="001B1DBF">
        <w:rPr>
          <w:rFonts w:ascii="Avenir LT Std 65 Medium" w:hAnsi="Avenir LT Std 65 Medium"/>
          <w:b/>
          <w:i/>
          <w:color w:val="00558C"/>
          <w:sz w:val="20"/>
          <w:szCs w:val="20"/>
        </w:rPr>
        <w:t>S</w:t>
      </w:r>
      <w:r w:rsidR="00B339B5" w:rsidRPr="001B1DBF">
        <w:rPr>
          <w:rFonts w:ascii="Avenir LT Std 65 Medium" w:hAnsi="Avenir LT Std 65 Medium"/>
          <w:b/>
          <w:i/>
          <w:color w:val="00558C"/>
          <w:sz w:val="20"/>
          <w:szCs w:val="20"/>
        </w:rPr>
        <w:t xml:space="preserve">hip </w:t>
      </w:r>
      <w:r w:rsidR="0073314A">
        <w:rPr>
          <w:rFonts w:ascii="Avenir LT Std 65 Medium" w:hAnsi="Avenir LT Std 65 Medium"/>
          <w:b/>
          <w:i/>
          <w:color w:val="00558C"/>
          <w:sz w:val="20"/>
          <w:szCs w:val="20"/>
        </w:rPr>
        <w:t xml:space="preserve">and </w:t>
      </w:r>
      <w:r w:rsidR="009A013D" w:rsidRPr="001B1DBF">
        <w:rPr>
          <w:rFonts w:ascii="Avenir LT Std 65 Medium" w:hAnsi="Avenir LT Std 65 Medium"/>
          <w:b/>
          <w:i/>
          <w:color w:val="00558C"/>
          <w:sz w:val="20"/>
          <w:szCs w:val="20"/>
        </w:rPr>
        <w:t>VTS</w:t>
      </w:r>
      <w:r w:rsidR="001B1DBF">
        <w:rPr>
          <w:rFonts w:ascii="Avenir LT Std 65 Medium" w:hAnsi="Avenir LT Std 65 Medium"/>
          <w:b/>
          <w:i/>
          <w:color w:val="00558C"/>
          <w:sz w:val="20"/>
          <w:szCs w:val="20"/>
        </w:rPr>
        <w:t>;</w:t>
      </w:r>
      <w:r w:rsidR="00B339B5" w:rsidRPr="001B1DBF">
        <w:rPr>
          <w:rFonts w:ascii="Avenir LT Std 65 Medium" w:hAnsi="Avenir LT Std 65 Medium"/>
          <w:b/>
          <w:i/>
          <w:color w:val="00558C"/>
          <w:sz w:val="20"/>
          <w:szCs w:val="20"/>
        </w:rPr>
        <w:t xml:space="preserve"> </w:t>
      </w:r>
      <w:r w:rsidR="009A013D" w:rsidRPr="001B1DBF">
        <w:rPr>
          <w:rFonts w:ascii="Avenir LT Std 65 Medium" w:hAnsi="Avenir LT Std 65 Medium"/>
          <w:b/>
          <w:i/>
          <w:color w:val="00558C"/>
          <w:sz w:val="20"/>
          <w:szCs w:val="20"/>
        </w:rPr>
        <w:t>the</w:t>
      </w:r>
      <w:r w:rsidR="00A248C6" w:rsidRPr="001B1DBF">
        <w:rPr>
          <w:rFonts w:ascii="Avenir LT Std 65 Medium" w:hAnsi="Avenir LT Std 65 Medium"/>
          <w:b/>
          <w:i/>
          <w:color w:val="00558C"/>
          <w:sz w:val="20"/>
          <w:szCs w:val="20"/>
        </w:rPr>
        <w:t xml:space="preserve"> </w:t>
      </w:r>
      <w:r w:rsidR="00615AC7" w:rsidRPr="001B1DBF">
        <w:rPr>
          <w:rFonts w:ascii="Avenir LT Std 65 Medium" w:hAnsi="Avenir LT Std 65 Medium"/>
          <w:b/>
          <w:i/>
          <w:color w:val="00558C"/>
          <w:sz w:val="20"/>
          <w:szCs w:val="20"/>
        </w:rPr>
        <w:t>Route to the future</w:t>
      </w:r>
      <w:r w:rsidR="001B1DBF">
        <w:rPr>
          <w:rFonts w:ascii="Avenir LT Std 65 Medium" w:hAnsi="Avenir LT Std 65 Medium"/>
          <w:b/>
          <w:i/>
          <w:color w:val="00558C"/>
          <w:sz w:val="20"/>
          <w:szCs w:val="20"/>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336D4C21" w:rsidR="001B20BB" w:rsidRPr="00BF6545" w:rsidRDefault="001B20BB" w:rsidP="001B20BB">
      <w:pPr>
        <w:pStyle w:val="Textedesaisie"/>
        <w:spacing w:after="120"/>
        <w:rPr>
          <w:rFonts w:ascii="Avenir LT Std 65 Medium" w:hAnsi="Avenir LT Std 65 Medium"/>
          <w:b/>
          <w:color w:val="00558C"/>
          <w:sz w:val="20"/>
          <w:szCs w:val="20"/>
        </w:rPr>
      </w:pPr>
      <w:r w:rsidRPr="00BF6545">
        <w:rPr>
          <w:rFonts w:ascii="Avenir LT Std 65 Medium" w:hAnsi="Avenir LT Std 65 Medium"/>
          <w:b/>
          <w:color w:val="auto"/>
          <w:sz w:val="20"/>
          <w:szCs w:val="20"/>
        </w:rPr>
        <w:t xml:space="preserve">Title / </w:t>
      </w:r>
      <w:proofErr w:type="spellStart"/>
      <w:r w:rsidRPr="00BF6545">
        <w:rPr>
          <w:rFonts w:ascii="Avenir LT Std 65 Medium" w:hAnsi="Avenir LT Std 65 Medium"/>
          <w:b/>
          <w:color w:val="auto"/>
          <w:sz w:val="20"/>
          <w:szCs w:val="20"/>
        </w:rPr>
        <w:t>Titre</w:t>
      </w:r>
      <w:proofErr w:type="spellEnd"/>
      <w:r w:rsidRPr="00BF6545">
        <w:rPr>
          <w:rFonts w:ascii="Avenir LT Std 65 Medium" w:hAnsi="Avenir LT Std 65 Medium"/>
          <w:b/>
          <w:color w:val="auto"/>
          <w:sz w:val="20"/>
          <w:szCs w:val="20"/>
        </w:rPr>
        <w:t xml:space="preserve"> (</w:t>
      </w:r>
      <w:proofErr w:type="spellStart"/>
      <w:r w:rsidRPr="00BF6545">
        <w:rPr>
          <w:rFonts w:ascii="Avenir LT Std 65 Medium" w:hAnsi="Avenir LT Std 65 Medium"/>
          <w:b/>
          <w:color w:val="auto"/>
          <w:sz w:val="20"/>
          <w:szCs w:val="20"/>
        </w:rPr>
        <w:t>Mr</w:t>
      </w:r>
      <w:proofErr w:type="spellEnd"/>
      <w:r w:rsidRPr="00BF6545">
        <w:rPr>
          <w:rFonts w:ascii="Avenir LT Std 65 Medium" w:hAnsi="Avenir LT Std 65 Medium"/>
          <w:b/>
          <w:color w:val="auto"/>
          <w:sz w:val="20"/>
          <w:szCs w:val="20"/>
        </w:rPr>
        <w:t xml:space="preserve">, </w:t>
      </w:r>
      <w:proofErr w:type="spellStart"/>
      <w:r w:rsidRPr="00BF6545">
        <w:rPr>
          <w:rFonts w:ascii="Avenir LT Std 65 Medium" w:hAnsi="Avenir LT Std 65 Medium"/>
          <w:b/>
          <w:color w:val="auto"/>
          <w:sz w:val="20"/>
          <w:szCs w:val="20"/>
        </w:rPr>
        <w:t>Ms</w:t>
      </w:r>
      <w:proofErr w:type="spellEnd"/>
      <w:r w:rsidRPr="00BF6545">
        <w:rPr>
          <w:rFonts w:ascii="Avenir LT Std 65 Medium" w:hAnsi="Avenir LT Std 65 Medium"/>
          <w:b/>
          <w:color w:val="auto"/>
          <w:sz w:val="20"/>
          <w:szCs w:val="20"/>
        </w:rPr>
        <w:t xml:space="preserve">, </w:t>
      </w:r>
      <w:proofErr w:type="spellStart"/>
      <w:r w:rsidRPr="00BF6545">
        <w:rPr>
          <w:rFonts w:ascii="Avenir LT Std 65 Medium" w:hAnsi="Avenir LT Std 65 Medium"/>
          <w:b/>
          <w:color w:val="auto"/>
          <w:sz w:val="20"/>
          <w:szCs w:val="20"/>
        </w:rPr>
        <w:t>Capt</w:t>
      </w:r>
      <w:proofErr w:type="spellEnd"/>
      <w:r w:rsidRPr="00BF6545">
        <w:rPr>
          <w:rFonts w:ascii="Avenir LT Std 65 Medium" w:hAnsi="Avenir LT Std 65 Medium"/>
          <w:b/>
          <w:color w:val="auto"/>
          <w:sz w:val="20"/>
          <w:szCs w:val="20"/>
        </w:rPr>
        <w:t>, etc.</w:t>
      </w:r>
      <w:proofErr w:type="gramStart"/>
      <w:r w:rsidRPr="00BF6545">
        <w:rPr>
          <w:rFonts w:ascii="Avenir LT Std 65 Medium" w:hAnsi="Avenir LT Std 65 Medium"/>
          <w:b/>
          <w:color w:val="auto"/>
          <w:sz w:val="20"/>
          <w:szCs w:val="20"/>
        </w:rPr>
        <w:t>) :</w:t>
      </w:r>
      <w:proofErr w:type="gramEnd"/>
      <w:r w:rsidRPr="00BF6545">
        <w:rPr>
          <w:rFonts w:ascii="Avenir LT Std 65 Medium" w:hAnsi="Avenir LT Std 65 Medium"/>
          <w:b/>
          <w:color w:val="auto"/>
          <w:sz w:val="20"/>
          <w:szCs w:val="20"/>
        </w:rPr>
        <w:t xml:space="preserve"> </w:t>
      </w:r>
      <w:r w:rsidR="0073314A" w:rsidRPr="00BF6545">
        <w:rPr>
          <w:rFonts w:ascii="Avenir LT Std 65 Medium" w:hAnsi="Avenir LT Std 65 Medium"/>
          <w:b/>
          <w:color w:val="auto"/>
          <w:sz w:val="20"/>
          <w:szCs w:val="20"/>
        </w:rPr>
        <w:t>Mr</w:t>
      </w:r>
      <w:r w:rsidR="0073314A">
        <w:rPr>
          <w:rFonts w:ascii="Avenir LT Std 65 Medium" w:hAnsi="Avenir LT Std 65 Medium"/>
          <w:b/>
          <w:color w:val="auto"/>
          <w:sz w:val="20"/>
          <w:szCs w:val="20"/>
        </w:rPr>
        <w:t>.</w:t>
      </w:r>
    </w:p>
    <w:p w14:paraId="5541C128" w14:textId="316F5136" w:rsidR="001B20BB" w:rsidRPr="00BF6545" w:rsidRDefault="004117D7" w:rsidP="004117D7">
      <w:pPr>
        <w:pStyle w:val="Textedesaisie"/>
        <w:spacing w:after="120"/>
        <w:ind w:right="2296"/>
        <w:rPr>
          <w:rFonts w:ascii="Avenir LT Std 65 Medium" w:hAnsi="Avenir LT Std 65 Medium"/>
          <w:b/>
          <w:color w:val="00558C"/>
          <w:sz w:val="20"/>
          <w:szCs w:val="20"/>
        </w:rPr>
      </w:pPr>
      <w:r w:rsidRPr="00BF6545">
        <w:rPr>
          <w:rFonts w:ascii="Avenir LT Std 65 Medium" w:hAnsi="Avenir LT Std 65 Medium"/>
          <w:b/>
          <w:color w:val="auto"/>
          <w:sz w:val="20"/>
          <w:szCs w:val="20"/>
        </w:rPr>
        <w:t xml:space="preserve">Family name / Nom de </w:t>
      </w:r>
      <w:proofErr w:type="spellStart"/>
      <w:proofErr w:type="gramStart"/>
      <w:r w:rsidRPr="00BF6545">
        <w:rPr>
          <w:rFonts w:ascii="Avenir LT Std 65 Medium" w:hAnsi="Avenir LT Std 65 Medium"/>
          <w:b/>
          <w:color w:val="auto"/>
          <w:sz w:val="20"/>
          <w:szCs w:val="20"/>
        </w:rPr>
        <w:t>famille</w:t>
      </w:r>
      <w:proofErr w:type="spellEnd"/>
      <w:r w:rsidRPr="00BF6545">
        <w:rPr>
          <w:rFonts w:ascii="Avenir LT Std 65 Medium" w:hAnsi="Avenir LT Std 65 Medium"/>
          <w:b/>
          <w:color w:val="auto"/>
          <w:sz w:val="20"/>
          <w:szCs w:val="20"/>
        </w:rPr>
        <w:t> :</w:t>
      </w:r>
      <w:proofErr w:type="gramEnd"/>
      <w:r w:rsidRPr="00BF6545">
        <w:rPr>
          <w:rFonts w:ascii="Avenir LT Std 65 Medium" w:hAnsi="Avenir LT Std 65 Medium"/>
          <w:b/>
          <w:color w:val="auto"/>
          <w:sz w:val="20"/>
          <w:szCs w:val="20"/>
        </w:rPr>
        <w:t xml:space="preserve"> </w:t>
      </w:r>
      <w:r w:rsidR="0073314A" w:rsidRPr="00BF6545">
        <w:rPr>
          <w:rFonts w:ascii="Avenir LT Std 65 Medium" w:hAnsi="Avenir LT Std 65 Medium"/>
          <w:b/>
          <w:i/>
          <w:color w:val="00558C"/>
          <w:sz w:val="20"/>
          <w:szCs w:val="20"/>
        </w:rPr>
        <w:t>Karlsso</w:t>
      </w:r>
      <w:r w:rsidR="00BF6545" w:rsidRPr="00BF6545">
        <w:rPr>
          <w:rFonts w:ascii="Avenir LT Std 65 Medium" w:hAnsi="Avenir LT Std 65 Medium"/>
          <w:b/>
          <w:i/>
          <w:color w:val="00558C"/>
          <w:sz w:val="20"/>
          <w:szCs w:val="20"/>
        </w:rPr>
        <w:t xml:space="preserve">n   </w:t>
      </w:r>
      <w:r w:rsidR="00BF6545">
        <w:rPr>
          <w:rFonts w:ascii="Avenir LT Std 65 Medium" w:hAnsi="Avenir LT Std 65 Medium"/>
          <w:b/>
          <w:i/>
          <w:color w:val="00558C"/>
          <w:sz w:val="20"/>
          <w:szCs w:val="20"/>
        </w:rPr>
        <w:t>(</w:t>
      </w:r>
      <w:r w:rsidR="00BF6545" w:rsidRPr="00BF6545">
        <w:rPr>
          <w:rFonts w:ascii="Avenir LT Std 65 Medium" w:hAnsi="Avenir LT Std 65 Medium"/>
          <w:b/>
          <w:i/>
          <w:color w:val="00558C"/>
          <w:sz w:val="20"/>
          <w:szCs w:val="20"/>
        </w:rPr>
        <w:t xml:space="preserve"> </w:t>
      </w:r>
      <w:proofErr w:type="spellStart"/>
      <w:r w:rsidR="00BF6545" w:rsidRPr="00BF6545">
        <w:rPr>
          <w:rFonts w:ascii="Avenir LT Std 65 Medium" w:hAnsi="Avenir LT Std 65 Medium"/>
          <w:b/>
          <w:i/>
          <w:color w:val="00558C"/>
          <w:sz w:val="20"/>
          <w:szCs w:val="20"/>
        </w:rPr>
        <w:t>Martikainen</w:t>
      </w:r>
      <w:proofErr w:type="spellEnd"/>
      <w:r w:rsidR="00BF6545">
        <w:rPr>
          <w:rFonts w:ascii="Avenir LT Std 65 Medium" w:hAnsi="Avenir LT Std 65 Medium"/>
          <w:b/>
          <w:i/>
          <w:color w:val="00558C"/>
          <w:sz w:val="20"/>
          <w:szCs w:val="20"/>
        </w:rPr>
        <w:t>)</w:t>
      </w:r>
    </w:p>
    <w:p w14:paraId="569BF645" w14:textId="168B62E1" w:rsidR="004117D7" w:rsidRPr="00BF6545" w:rsidRDefault="004117D7" w:rsidP="004117D7">
      <w:pPr>
        <w:pStyle w:val="Textedesaisie"/>
        <w:spacing w:after="120"/>
        <w:ind w:right="2296"/>
        <w:rPr>
          <w:rFonts w:ascii="Avenir LT Std 65 Medium" w:hAnsi="Avenir LT Std 65 Medium"/>
          <w:b/>
          <w:color w:val="00558C"/>
          <w:sz w:val="20"/>
          <w:szCs w:val="20"/>
        </w:rPr>
      </w:pPr>
      <w:r w:rsidRPr="00BF6545">
        <w:rPr>
          <w:rFonts w:ascii="Avenir LT Std 65 Medium" w:hAnsi="Avenir LT Std 65 Medium"/>
          <w:b/>
          <w:color w:val="auto"/>
          <w:sz w:val="20"/>
          <w:szCs w:val="20"/>
        </w:rPr>
        <w:t xml:space="preserve">Surname / </w:t>
      </w:r>
      <w:proofErr w:type="spellStart"/>
      <w:proofErr w:type="gramStart"/>
      <w:r w:rsidRPr="00BF6545">
        <w:rPr>
          <w:rFonts w:ascii="Avenir LT Std 65 Medium" w:hAnsi="Avenir LT Std 65 Medium"/>
          <w:b/>
          <w:color w:val="auto"/>
          <w:sz w:val="20"/>
          <w:szCs w:val="20"/>
        </w:rPr>
        <w:t>Prénom</w:t>
      </w:r>
      <w:proofErr w:type="spellEnd"/>
      <w:r w:rsidRPr="00BF6545">
        <w:rPr>
          <w:rFonts w:ascii="Avenir LT Std 65 Medium" w:hAnsi="Avenir LT Std 65 Medium"/>
          <w:b/>
          <w:color w:val="auto"/>
          <w:sz w:val="20"/>
          <w:szCs w:val="20"/>
        </w:rPr>
        <w:t> :</w:t>
      </w:r>
      <w:proofErr w:type="gramEnd"/>
      <w:r w:rsidRPr="00BF6545">
        <w:rPr>
          <w:rFonts w:ascii="Avenir LT Std 65 Medium" w:hAnsi="Avenir LT Std 65 Medium"/>
          <w:b/>
          <w:color w:val="auto"/>
          <w:sz w:val="20"/>
          <w:szCs w:val="20"/>
        </w:rPr>
        <w:t xml:space="preserve"> </w:t>
      </w:r>
      <w:r w:rsidR="00BF6545" w:rsidRPr="00BF6545">
        <w:rPr>
          <w:rFonts w:ascii="Avenir LT Std 65 Medium" w:hAnsi="Avenir LT Std 65 Medium"/>
          <w:b/>
          <w:color w:val="auto"/>
          <w:sz w:val="20"/>
          <w:szCs w:val="20"/>
        </w:rPr>
        <w:t xml:space="preserve">                   </w:t>
      </w:r>
      <w:r w:rsidR="0073314A" w:rsidRPr="00BF6545">
        <w:rPr>
          <w:rFonts w:ascii="Avenir LT Std 65 Medium" w:hAnsi="Avenir LT Std 65 Medium"/>
          <w:b/>
          <w:i/>
          <w:color w:val="00558C"/>
          <w:sz w:val="20"/>
          <w:szCs w:val="20"/>
        </w:rPr>
        <w:t>Fredrik</w:t>
      </w:r>
      <w:r w:rsidR="00BF6545" w:rsidRPr="00BF6545">
        <w:rPr>
          <w:rFonts w:ascii="Avenir LT Std 65 Medium" w:hAnsi="Avenir LT Std 65 Medium"/>
          <w:b/>
          <w:i/>
          <w:color w:val="00558C"/>
          <w:sz w:val="20"/>
          <w:szCs w:val="20"/>
        </w:rPr>
        <w:tab/>
        <w:t xml:space="preserve">     </w:t>
      </w:r>
      <w:r w:rsidR="00BF6545">
        <w:rPr>
          <w:rFonts w:ascii="Avenir LT Std 65 Medium" w:hAnsi="Avenir LT Std 65 Medium"/>
          <w:b/>
          <w:i/>
          <w:color w:val="00558C"/>
          <w:sz w:val="20"/>
          <w:szCs w:val="20"/>
        </w:rPr>
        <w:t xml:space="preserve"> </w:t>
      </w:r>
      <w:r w:rsidR="00BF6545" w:rsidRPr="00BF6545">
        <w:rPr>
          <w:rFonts w:ascii="Avenir LT Std 65 Medium" w:hAnsi="Avenir LT Std 65 Medium"/>
          <w:b/>
          <w:i/>
          <w:color w:val="00558C"/>
          <w:sz w:val="20"/>
          <w:szCs w:val="20"/>
        </w:rPr>
        <w:t>(</w:t>
      </w:r>
      <w:proofErr w:type="spellStart"/>
      <w:r w:rsidR="00BF6545" w:rsidRPr="00BF6545">
        <w:rPr>
          <w:rFonts w:ascii="Avenir LT Std 65 Medium" w:hAnsi="Avenir LT Std 65 Medium"/>
          <w:b/>
          <w:i/>
          <w:color w:val="00558C"/>
          <w:sz w:val="20"/>
          <w:szCs w:val="20"/>
        </w:rPr>
        <w:t>Tuomas</w:t>
      </w:r>
      <w:proofErr w:type="spellEnd"/>
      <w:r w:rsidR="00BF6545" w:rsidRPr="00BF6545">
        <w:rPr>
          <w:rFonts w:ascii="Avenir LT Std 65 Medium" w:hAnsi="Avenir LT Std 65 Medium"/>
          <w:b/>
          <w:i/>
          <w:color w:val="00558C"/>
          <w:sz w:val="20"/>
          <w:szCs w:val="20"/>
        </w:rPr>
        <w:t xml:space="preserve"> </w:t>
      </w:r>
      <w:r w:rsidR="00BF6545">
        <w:rPr>
          <w:rFonts w:ascii="Avenir LT Std 65 Medium" w:hAnsi="Avenir LT Std 65 Medium"/>
          <w:b/>
          <w:i/>
          <w:color w:val="00558C"/>
          <w:sz w:val="20"/>
          <w:szCs w:val="20"/>
        </w:rPr>
        <w:t>)</w:t>
      </w:r>
      <w:bookmarkStart w:id="0" w:name="_GoBack"/>
      <w:bookmarkEnd w:id="0"/>
    </w:p>
    <w:p w14:paraId="38438DA2" w14:textId="77777777" w:rsidR="004117D7" w:rsidRPr="00BF6545" w:rsidRDefault="004117D7" w:rsidP="004117D7">
      <w:pPr>
        <w:pStyle w:val="Textedesaisie"/>
        <w:spacing w:after="120"/>
        <w:ind w:right="3855"/>
        <w:rPr>
          <w:rFonts w:ascii="Avenir LT Std 65 Medium" w:hAnsi="Avenir LT Std 65 Medium"/>
          <w:b/>
          <w:color w:val="00558C"/>
          <w:sz w:val="20"/>
          <w:szCs w:val="20"/>
        </w:rPr>
      </w:pPr>
      <w:r w:rsidRPr="00BF6545">
        <w:rPr>
          <w:rFonts w:ascii="Avenir LT Std 65 Medium" w:hAnsi="Avenir LT Std 65 Medium"/>
          <w:b/>
          <w:color w:val="auto"/>
          <w:sz w:val="20"/>
          <w:szCs w:val="20"/>
        </w:rPr>
        <w:t xml:space="preserve">IALA member </w:t>
      </w:r>
      <w:proofErr w:type="spellStart"/>
      <w:r w:rsidRPr="00BF6545">
        <w:rPr>
          <w:rFonts w:ascii="Avenir LT Std 65 Medium" w:hAnsi="Avenir LT Std 65 Medium"/>
          <w:b/>
          <w:color w:val="auto"/>
          <w:sz w:val="20"/>
          <w:szCs w:val="20"/>
        </w:rPr>
        <w:t>organisation</w:t>
      </w:r>
      <w:proofErr w:type="spellEnd"/>
      <w:r w:rsidRPr="00BF6545">
        <w:rPr>
          <w:rFonts w:ascii="Avenir LT Std 65 Medium" w:hAnsi="Avenir LT Std 65 Medium"/>
          <w:b/>
          <w:color w:val="auto"/>
          <w:sz w:val="20"/>
          <w:szCs w:val="20"/>
        </w:rPr>
        <w:t xml:space="preserve"> / </w:t>
      </w:r>
      <w:proofErr w:type="spellStart"/>
      <w:r w:rsidRPr="00BF6545">
        <w:rPr>
          <w:rFonts w:ascii="Avenir LT Std 65 Medium" w:hAnsi="Avenir LT Std 65 Medium"/>
          <w:b/>
          <w:color w:val="auto"/>
          <w:sz w:val="20"/>
          <w:szCs w:val="20"/>
        </w:rPr>
        <w:t>Organisation</w:t>
      </w:r>
      <w:proofErr w:type="spellEnd"/>
      <w:r w:rsidRPr="00BF6545">
        <w:rPr>
          <w:rFonts w:ascii="Avenir LT Std 65 Medium" w:hAnsi="Avenir LT Std 65 Medium"/>
          <w:b/>
          <w:color w:val="auto"/>
          <w:sz w:val="20"/>
          <w:szCs w:val="20"/>
        </w:rPr>
        <w:t xml:space="preserve"> </w:t>
      </w:r>
      <w:proofErr w:type="spellStart"/>
      <w:r w:rsidRPr="00BF6545">
        <w:rPr>
          <w:rFonts w:ascii="Avenir LT Std 65 Medium" w:hAnsi="Avenir LT Std 65 Medium"/>
          <w:b/>
          <w:color w:val="auto"/>
          <w:sz w:val="20"/>
          <w:szCs w:val="20"/>
        </w:rPr>
        <w:t>membre</w:t>
      </w:r>
      <w:proofErr w:type="spellEnd"/>
      <w:r w:rsidRPr="00BF6545">
        <w:rPr>
          <w:rFonts w:ascii="Avenir LT Std 65 Medium" w:hAnsi="Avenir LT Std 65 Medium"/>
          <w:b/>
          <w:color w:val="auto"/>
          <w:sz w:val="20"/>
          <w:szCs w:val="20"/>
        </w:rPr>
        <w:t xml:space="preserve"> de </w:t>
      </w:r>
      <w:proofErr w:type="spellStart"/>
      <w:proofErr w:type="gramStart"/>
      <w:r w:rsidRPr="00BF6545">
        <w:rPr>
          <w:rFonts w:ascii="Avenir LT Std 65 Medium" w:hAnsi="Avenir LT Std 65 Medium"/>
          <w:b/>
          <w:color w:val="auto"/>
          <w:sz w:val="20"/>
          <w:szCs w:val="20"/>
        </w:rPr>
        <w:t>l’AISM</w:t>
      </w:r>
      <w:proofErr w:type="spellEnd"/>
      <w:r w:rsidRPr="00BF6545">
        <w:rPr>
          <w:rFonts w:ascii="Avenir LT Std 65 Medium" w:hAnsi="Avenir LT Std 65 Medium"/>
          <w:b/>
          <w:color w:val="auto"/>
          <w:sz w:val="20"/>
          <w:szCs w:val="20"/>
        </w:rPr>
        <w:t> </w:t>
      </w:r>
      <w:r w:rsidRPr="00BF6545">
        <w:rPr>
          <w:rFonts w:ascii="Avenir LT Std 65 Medium" w:hAnsi="Avenir LT Std 65 Medium"/>
          <w:b/>
          <w:color w:val="00558C"/>
          <w:sz w:val="20"/>
          <w:szCs w:val="20"/>
        </w:rPr>
        <w:t>:</w:t>
      </w:r>
      <w:proofErr w:type="gramEnd"/>
    </w:p>
    <w:p w14:paraId="129D4E28" w14:textId="570CDAC6" w:rsidR="004117D7" w:rsidRPr="001B1DBF" w:rsidRDefault="00B339B5" w:rsidP="004117D7">
      <w:pPr>
        <w:spacing w:after="120"/>
        <w:ind w:right="2296"/>
        <w:rPr>
          <w:rFonts w:ascii="Avenir LT Std 65 Medium" w:hAnsi="Avenir LT Std 65 Medium"/>
          <w:i/>
          <w:color w:val="00558C" w:themeColor="accent1"/>
          <w:lang w:val="en-US"/>
        </w:rPr>
      </w:pPr>
      <w:r w:rsidRPr="001B1DBF">
        <w:rPr>
          <w:rFonts w:ascii="Avenir LT Std 65 Medium" w:hAnsi="Avenir LT Std 65 Medium"/>
          <w:b/>
          <w:i/>
          <w:color w:val="00558C"/>
          <w:sz w:val="20"/>
          <w:szCs w:val="20"/>
          <w:lang w:val="en-US"/>
        </w:rPr>
        <w:t xml:space="preserve">Finnish Transport Agency and </w:t>
      </w:r>
      <w:r w:rsidR="00615AC7" w:rsidRPr="001B1DBF">
        <w:rPr>
          <w:rFonts w:ascii="Avenir LT Std 65 Medium" w:hAnsi="Avenir LT Std 65 Medium"/>
          <w:b/>
          <w:i/>
          <w:color w:val="00558C"/>
          <w:sz w:val="20"/>
          <w:szCs w:val="20"/>
          <w:lang w:val="en-US"/>
        </w:rPr>
        <w:t>Swedish Maritime Administration</w:t>
      </w:r>
    </w:p>
    <w:p w14:paraId="37CC00E4" w14:textId="77777777" w:rsidR="004117D7" w:rsidRPr="001B1DBF" w:rsidRDefault="004117D7" w:rsidP="004117D7">
      <w:pPr>
        <w:pStyle w:val="Textedesaisie"/>
        <w:spacing w:after="120"/>
        <w:ind w:right="3855"/>
        <w:rPr>
          <w:rFonts w:ascii="Avenir LT Std 65 Medium" w:hAnsi="Avenir LT Std 65 Medium"/>
          <w:b/>
          <w:color w:val="auto"/>
          <w:sz w:val="20"/>
          <w:szCs w:val="20"/>
        </w:rPr>
      </w:pPr>
      <w:r w:rsidRPr="001B1DBF">
        <w:rPr>
          <w:rFonts w:ascii="Avenir LT Std 65 Medium" w:hAnsi="Avenir LT Std 65 Medium"/>
          <w:b/>
          <w:color w:val="auto"/>
          <w:sz w:val="20"/>
          <w:szCs w:val="20"/>
        </w:rPr>
        <w:t xml:space="preserve">Postal address / </w:t>
      </w:r>
      <w:proofErr w:type="spellStart"/>
      <w:r w:rsidRPr="001B1DBF">
        <w:rPr>
          <w:rFonts w:ascii="Avenir LT Std 65 Medium" w:hAnsi="Avenir LT Std 65 Medium"/>
          <w:b/>
          <w:color w:val="auto"/>
          <w:sz w:val="20"/>
          <w:szCs w:val="20"/>
        </w:rPr>
        <w:t>Adresse</w:t>
      </w:r>
      <w:proofErr w:type="spellEnd"/>
      <w:r w:rsidRPr="001B1DBF">
        <w:rPr>
          <w:rFonts w:ascii="Avenir LT Std 65 Medium" w:hAnsi="Avenir LT Std 65 Medium"/>
          <w:b/>
          <w:color w:val="auto"/>
          <w:sz w:val="20"/>
          <w:szCs w:val="20"/>
        </w:rPr>
        <w:t xml:space="preserve"> </w:t>
      </w:r>
      <w:proofErr w:type="spellStart"/>
      <w:proofErr w:type="gramStart"/>
      <w:r w:rsidRPr="001B1DBF">
        <w:rPr>
          <w:rFonts w:ascii="Avenir LT Std 65 Medium" w:hAnsi="Avenir LT Std 65 Medium"/>
          <w:b/>
          <w:color w:val="auto"/>
          <w:sz w:val="20"/>
          <w:szCs w:val="20"/>
        </w:rPr>
        <w:t>postale</w:t>
      </w:r>
      <w:proofErr w:type="spellEnd"/>
      <w:r w:rsidRPr="001B1DBF">
        <w:rPr>
          <w:rFonts w:ascii="Avenir LT Std 65 Medium" w:hAnsi="Avenir LT Std 65 Medium"/>
          <w:b/>
          <w:color w:val="auto"/>
          <w:sz w:val="20"/>
          <w:szCs w:val="20"/>
        </w:rPr>
        <w:t> :</w:t>
      </w:r>
      <w:proofErr w:type="gramEnd"/>
    </w:p>
    <w:p w14:paraId="4CB76506" w14:textId="77777777" w:rsidR="001B48DC" w:rsidRDefault="001B48DC" w:rsidP="00967710">
      <w:pPr>
        <w:pStyle w:val="Textedesaisie"/>
        <w:spacing w:after="120"/>
        <w:ind w:right="2154"/>
        <w:rPr>
          <w:rFonts w:ascii="Avenir LT Std 65 Medium" w:hAnsi="Avenir LT Std 65 Medium"/>
          <w:b/>
          <w:i/>
          <w:color w:val="00558C"/>
          <w:sz w:val="20"/>
          <w:szCs w:val="20"/>
        </w:rPr>
        <w:sectPr w:rsidR="001B48DC" w:rsidSect="00FA5CB2">
          <w:type w:val="continuous"/>
          <w:pgSz w:w="11906" w:h="16838" w:code="9"/>
          <w:pgMar w:top="397" w:right="765" w:bottom="567" w:left="907" w:header="567" w:footer="510" w:gutter="0"/>
          <w:cols w:space="482"/>
          <w:titlePg/>
          <w:docGrid w:linePitch="360"/>
        </w:sectPr>
      </w:pPr>
    </w:p>
    <w:p w14:paraId="02131BFF" w14:textId="68BD9985" w:rsidR="00967710" w:rsidRPr="001B1DBF" w:rsidRDefault="00967710" w:rsidP="00967710">
      <w:pPr>
        <w:pStyle w:val="Textedesaisie"/>
        <w:spacing w:after="120"/>
        <w:ind w:right="2154"/>
        <w:rPr>
          <w:rFonts w:ascii="Avenir LT Std 65 Medium" w:hAnsi="Avenir LT Std 65 Medium"/>
          <w:b/>
          <w:i/>
          <w:color w:val="00558C"/>
          <w:sz w:val="20"/>
          <w:szCs w:val="20"/>
        </w:rPr>
      </w:pPr>
      <w:r w:rsidRPr="001B1DBF">
        <w:rPr>
          <w:rFonts w:ascii="Avenir LT Std 65 Medium" w:hAnsi="Avenir LT Std 65 Medium"/>
          <w:b/>
          <w:i/>
          <w:color w:val="00558C"/>
          <w:sz w:val="20"/>
          <w:szCs w:val="20"/>
        </w:rPr>
        <w:t>Swedish Maritime Administration</w:t>
      </w:r>
    </w:p>
    <w:p w14:paraId="6A7533A4" w14:textId="77777777" w:rsidR="00967710" w:rsidRPr="001B1DBF" w:rsidRDefault="00967710" w:rsidP="00967710">
      <w:pPr>
        <w:pStyle w:val="Textedesaisie"/>
        <w:spacing w:after="120"/>
        <w:ind w:right="2154"/>
        <w:rPr>
          <w:rFonts w:ascii="Avenir LT Std 65 Medium" w:hAnsi="Avenir LT Std 65 Medium"/>
          <w:b/>
          <w:i/>
          <w:color w:val="00558C"/>
          <w:sz w:val="20"/>
          <w:szCs w:val="20"/>
        </w:rPr>
      </w:pPr>
      <w:proofErr w:type="spellStart"/>
      <w:r w:rsidRPr="001B1DBF">
        <w:rPr>
          <w:rFonts w:ascii="Avenir LT Std 65 Medium" w:hAnsi="Avenir LT Std 65 Medium"/>
          <w:b/>
          <w:i/>
          <w:color w:val="00558C"/>
          <w:sz w:val="20"/>
          <w:szCs w:val="20"/>
        </w:rPr>
        <w:t>Lindholmspiren</w:t>
      </w:r>
      <w:proofErr w:type="spellEnd"/>
      <w:r w:rsidRPr="001B1DBF">
        <w:rPr>
          <w:rFonts w:ascii="Avenir LT Std 65 Medium" w:hAnsi="Avenir LT Std 65 Medium"/>
          <w:b/>
          <w:i/>
          <w:color w:val="00558C"/>
          <w:sz w:val="20"/>
          <w:szCs w:val="20"/>
        </w:rPr>
        <w:t xml:space="preserve"> 5</w:t>
      </w:r>
    </w:p>
    <w:p w14:paraId="0E25CFC5" w14:textId="77777777" w:rsidR="00967710" w:rsidRPr="001B1DBF" w:rsidRDefault="00967710" w:rsidP="00967710">
      <w:pPr>
        <w:pStyle w:val="Textedesaisie"/>
        <w:spacing w:after="120"/>
        <w:ind w:right="2154"/>
        <w:rPr>
          <w:rFonts w:ascii="Avenir LT Std 65 Medium" w:hAnsi="Avenir LT Std 65 Medium"/>
          <w:b/>
          <w:color w:val="00558C"/>
          <w:sz w:val="20"/>
          <w:szCs w:val="20"/>
        </w:rPr>
      </w:pPr>
      <w:r w:rsidRPr="001B1DBF">
        <w:rPr>
          <w:rFonts w:ascii="Avenir LT Std 65 Medium" w:hAnsi="Avenir LT Std 65 Medium"/>
          <w:b/>
          <w:i/>
          <w:color w:val="00558C"/>
          <w:sz w:val="20"/>
          <w:szCs w:val="20"/>
        </w:rPr>
        <w:t>SE-417 56 Gothenburg</w:t>
      </w:r>
    </w:p>
    <w:p w14:paraId="18CE32AD" w14:textId="037466D2" w:rsidR="001B48DC" w:rsidRDefault="001B48DC" w:rsidP="00967710">
      <w:pPr>
        <w:pStyle w:val="Textedesaisie"/>
        <w:spacing w:after="120"/>
        <w:ind w:right="2154"/>
        <w:rPr>
          <w:rFonts w:ascii="Avenir LT Std 65 Medium" w:hAnsi="Avenir LT Std 65 Medium"/>
          <w:b/>
          <w:color w:val="00558C"/>
          <w:sz w:val="20"/>
          <w:szCs w:val="20"/>
        </w:rPr>
      </w:pPr>
      <w:r>
        <w:rPr>
          <w:rFonts w:ascii="Avenir LT Std 65 Medium" w:hAnsi="Avenir LT Std 65 Medium"/>
          <w:b/>
          <w:color w:val="00558C"/>
          <w:sz w:val="20"/>
          <w:szCs w:val="20"/>
        </w:rPr>
        <w:t>Finnish Transport Agency</w:t>
      </w:r>
    </w:p>
    <w:p w14:paraId="473BB208" w14:textId="06E426E7" w:rsidR="001B48DC" w:rsidRDefault="001B48DC" w:rsidP="00967710">
      <w:pPr>
        <w:pStyle w:val="Textedesaisie"/>
        <w:spacing w:after="120"/>
        <w:ind w:right="2154"/>
        <w:rPr>
          <w:rFonts w:ascii="Avenir LT Std 65 Medium" w:hAnsi="Avenir LT Std 65 Medium"/>
          <w:b/>
          <w:color w:val="00558C"/>
          <w:sz w:val="20"/>
          <w:szCs w:val="20"/>
        </w:rPr>
      </w:pPr>
      <w:proofErr w:type="spellStart"/>
      <w:r>
        <w:rPr>
          <w:rFonts w:ascii="Avenir LT Std 65 Medium" w:hAnsi="Avenir LT Std 65 Medium"/>
          <w:b/>
          <w:color w:val="00558C"/>
          <w:sz w:val="20"/>
          <w:szCs w:val="20"/>
        </w:rPr>
        <w:t>P.O.Box</w:t>
      </w:r>
      <w:proofErr w:type="spellEnd"/>
      <w:r>
        <w:rPr>
          <w:rFonts w:ascii="Avenir LT Std 65 Medium" w:hAnsi="Avenir LT Std 65 Medium"/>
          <w:b/>
          <w:color w:val="00558C"/>
          <w:sz w:val="20"/>
          <w:szCs w:val="20"/>
        </w:rPr>
        <w:t xml:space="preserve"> 33</w:t>
      </w:r>
    </w:p>
    <w:p w14:paraId="79B5272F" w14:textId="35AD29EA" w:rsidR="001B48DC" w:rsidRDefault="001B48DC" w:rsidP="00967710">
      <w:pPr>
        <w:pStyle w:val="Textedesaisie"/>
        <w:spacing w:after="120"/>
        <w:ind w:right="2154"/>
        <w:rPr>
          <w:rFonts w:ascii="Avenir LT Std 65 Medium" w:hAnsi="Avenir LT Std 65 Medium"/>
          <w:b/>
          <w:color w:val="00558C"/>
          <w:sz w:val="20"/>
          <w:szCs w:val="20"/>
        </w:rPr>
        <w:sectPr w:rsidR="001B48DC" w:rsidSect="00BF6545">
          <w:type w:val="continuous"/>
          <w:pgSz w:w="11906" w:h="16838" w:code="9"/>
          <w:pgMar w:top="397" w:right="765" w:bottom="567" w:left="907" w:header="567" w:footer="510" w:gutter="0"/>
          <w:cols w:num="2" w:space="482"/>
          <w:titlePg/>
          <w:docGrid w:linePitch="360"/>
        </w:sectPr>
      </w:pPr>
      <w:r>
        <w:rPr>
          <w:rFonts w:ascii="Avenir LT Std 65 Medium" w:hAnsi="Avenir LT Std 65 Medium"/>
          <w:b/>
          <w:color w:val="00558C"/>
          <w:sz w:val="20"/>
          <w:szCs w:val="20"/>
        </w:rPr>
        <w:t>FI-00520 Helsinki</w:t>
      </w:r>
    </w:p>
    <w:p w14:paraId="34A8704E" w14:textId="32AB6BA0" w:rsidR="00967710" w:rsidRPr="001B1DBF" w:rsidRDefault="00967710" w:rsidP="00967710">
      <w:pPr>
        <w:pStyle w:val="Textedesaisie"/>
        <w:spacing w:after="120"/>
        <w:ind w:right="2154"/>
        <w:rPr>
          <w:rFonts w:ascii="Avenir LT Std 65 Medium" w:hAnsi="Avenir LT Std 65 Medium"/>
          <w:b/>
          <w:color w:val="00558C"/>
          <w:sz w:val="20"/>
          <w:szCs w:val="20"/>
        </w:rPr>
      </w:pPr>
    </w:p>
    <w:p w14:paraId="708A02BE" w14:textId="5BA06DFD" w:rsidR="004117D7" w:rsidRPr="001B1DBF" w:rsidRDefault="004117D7" w:rsidP="00967710">
      <w:pPr>
        <w:pStyle w:val="Textedesaisie"/>
        <w:spacing w:after="120"/>
        <w:ind w:right="2154"/>
        <w:rPr>
          <w:rFonts w:ascii="Avenir LT Std 65 Medium" w:hAnsi="Avenir LT Std 65 Medium"/>
          <w:b/>
          <w:color w:val="auto"/>
        </w:rPr>
      </w:pPr>
      <w:r w:rsidRPr="001B1DBF">
        <w:rPr>
          <w:rFonts w:ascii="Avenir LT Std 65 Medium" w:hAnsi="Avenir LT Std 65 Medium"/>
          <w:b/>
          <w:color w:val="auto"/>
          <w:sz w:val="20"/>
          <w:szCs w:val="20"/>
        </w:rPr>
        <w:t xml:space="preserve">Telephone </w:t>
      </w:r>
      <w:r w:rsidRPr="001B1DBF">
        <w:rPr>
          <w:rFonts w:ascii="Avenir LT Std 65 Medium" w:hAnsi="Avenir LT Std 65 Medium"/>
          <w:b/>
          <w:color w:val="auto"/>
        </w:rPr>
        <w:t>(including country and area codes)</w:t>
      </w:r>
      <w:r w:rsidRPr="001B1DBF">
        <w:rPr>
          <w:rFonts w:ascii="Avenir LT Std 65 Medium" w:hAnsi="Avenir LT Std 65 Medium"/>
          <w:b/>
          <w:color w:val="auto"/>
          <w:sz w:val="20"/>
          <w:szCs w:val="20"/>
        </w:rPr>
        <w:t xml:space="preserve"> / </w:t>
      </w:r>
      <w:proofErr w:type="spellStart"/>
      <w:r w:rsidRPr="001B1DBF">
        <w:rPr>
          <w:rFonts w:ascii="Avenir LT Std 65 Medium" w:hAnsi="Avenir LT Std 65 Medium"/>
          <w:b/>
          <w:color w:val="auto"/>
          <w:sz w:val="20"/>
          <w:szCs w:val="20"/>
        </w:rPr>
        <w:t>Téléphone</w:t>
      </w:r>
      <w:proofErr w:type="spellEnd"/>
      <w:r w:rsidRPr="001B1DBF">
        <w:rPr>
          <w:rFonts w:ascii="Avenir LT Std 65 Medium" w:hAnsi="Avenir LT Std 65 Medium"/>
          <w:b/>
          <w:color w:val="auto"/>
          <w:sz w:val="20"/>
          <w:szCs w:val="20"/>
        </w:rPr>
        <w:t xml:space="preserve"> </w:t>
      </w:r>
      <w:r w:rsidRPr="001B1DBF">
        <w:rPr>
          <w:rFonts w:ascii="Avenir LT Std 65 Medium" w:hAnsi="Avenir LT Std 65 Medium"/>
          <w:b/>
          <w:color w:val="auto"/>
        </w:rPr>
        <w:t xml:space="preserve">(y </w:t>
      </w:r>
      <w:proofErr w:type="spellStart"/>
      <w:r w:rsidRPr="001B1DBF">
        <w:rPr>
          <w:rFonts w:ascii="Avenir LT Std 65 Medium" w:hAnsi="Avenir LT Std 65 Medium"/>
          <w:b/>
          <w:color w:val="auto"/>
        </w:rPr>
        <w:t>compris</w:t>
      </w:r>
      <w:proofErr w:type="spellEnd"/>
      <w:r w:rsidRPr="001B1DBF">
        <w:rPr>
          <w:rFonts w:ascii="Avenir LT Std 65 Medium" w:hAnsi="Avenir LT Std 65 Medium"/>
          <w:b/>
          <w:color w:val="auto"/>
        </w:rPr>
        <w:t xml:space="preserve"> codes </w:t>
      </w:r>
      <w:r w:rsidR="00993755" w:rsidRPr="001B1DBF">
        <w:rPr>
          <w:rFonts w:ascii="Avenir LT Std 65 Medium" w:hAnsi="Avenir LT Std 65 Medium"/>
          <w:b/>
          <w:color w:val="auto"/>
        </w:rPr>
        <w:t>national</w:t>
      </w:r>
      <w:r w:rsidRPr="001B1DBF">
        <w:rPr>
          <w:rFonts w:ascii="Avenir LT Std 65 Medium" w:hAnsi="Avenir LT Std 65 Medium"/>
          <w:b/>
          <w:color w:val="auto"/>
        </w:rPr>
        <w:t xml:space="preserve"> </w:t>
      </w:r>
      <w:proofErr w:type="gramStart"/>
      <w:r w:rsidRPr="001B1DBF">
        <w:rPr>
          <w:rFonts w:ascii="Avenir LT Std 65 Medium" w:hAnsi="Avenir LT Std 65 Medium"/>
          <w:b/>
          <w:color w:val="auto"/>
        </w:rPr>
        <w:t>et</w:t>
      </w:r>
      <w:proofErr w:type="gramEnd"/>
      <w:r w:rsidRPr="001B1DBF">
        <w:rPr>
          <w:rFonts w:ascii="Avenir LT Std 65 Medium" w:hAnsi="Avenir LT Std 65 Medium"/>
          <w:b/>
          <w:color w:val="auto"/>
        </w:rPr>
        <w:t xml:space="preserve"> </w:t>
      </w:r>
      <w:proofErr w:type="spellStart"/>
      <w:r w:rsidR="00993755" w:rsidRPr="001B1DBF">
        <w:rPr>
          <w:rFonts w:ascii="Avenir LT Std 65 Medium" w:hAnsi="Avenir LT Std 65 Medium"/>
          <w:b/>
          <w:color w:val="auto"/>
        </w:rPr>
        <w:t>régional</w:t>
      </w:r>
      <w:proofErr w:type="spellEnd"/>
      <w:r w:rsidR="00993755" w:rsidRPr="001B1DBF">
        <w:rPr>
          <w:rFonts w:ascii="Avenir LT Std 65 Medium" w:hAnsi="Avenir LT Std 65 Medium"/>
          <w:b/>
          <w:color w:val="auto"/>
        </w:rPr>
        <w:t>)</w:t>
      </w:r>
    </w:p>
    <w:p w14:paraId="799821C4" w14:textId="41B6F7D9" w:rsidR="00993755" w:rsidRPr="00BF6545" w:rsidRDefault="00993755" w:rsidP="00993755">
      <w:pPr>
        <w:pStyle w:val="Textedesaisie"/>
        <w:spacing w:after="120"/>
        <w:ind w:right="2154"/>
        <w:rPr>
          <w:rFonts w:ascii="Avenir LT Std 65 Medium" w:hAnsi="Avenir LT Std 65 Medium"/>
          <w:b/>
          <w:color w:val="00558C"/>
          <w:sz w:val="20"/>
          <w:szCs w:val="20"/>
          <w:lang w:val="fr-FR"/>
        </w:rPr>
      </w:pPr>
      <w:r w:rsidRPr="00BF6545">
        <w:rPr>
          <w:rFonts w:ascii="Avenir LT Std 65 Medium" w:hAnsi="Avenir LT Std 65 Medium"/>
          <w:b/>
          <w:color w:val="auto"/>
          <w:sz w:val="20"/>
          <w:szCs w:val="20"/>
          <w:lang w:val="fr-FR"/>
        </w:rPr>
        <w:t>Office / Bureau :</w:t>
      </w:r>
      <w:r w:rsidRPr="00BF6545">
        <w:rPr>
          <w:rFonts w:ascii="Avenir LT Std 65 Medium" w:hAnsi="Avenir LT Std 65 Medium"/>
          <w:b/>
          <w:color w:val="00558C"/>
          <w:sz w:val="20"/>
          <w:szCs w:val="20"/>
          <w:lang w:val="fr-FR"/>
        </w:rPr>
        <w:t xml:space="preserve"> </w:t>
      </w:r>
      <w:r w:rsidR="003B29CC" w:rsidRPr="00BF6545">
        <w:rPr>
          <w:rFonts w:ascii="Avenir LT Std 65 Medium" w:hAnsi="Avenir LT Std 65 Medium"/>
          <w:b/>
          <w:i/>
          <w:color w:val="00558C"/>
          <w:sz w:val="20"/>
          <w:szCs w:val="20"/>
          <w:lang w:val="fr-FR"/>
        </w:rPr>
        <w:t>+46 771 63 00 00</w:t>
      </w:r>
      <w:r w:rsidR="00AD6116" w:rsidRPr="00BF6545">
        <w:rPr>
          <w:rFonts w:ascii="Avenir LT Std 65 Medium" w:hAnsi="Avenir LT Std 65 Medium"/>
          <w:b/>
          <w:i/>
          <w:color w:val="00558C"/>
          <w:sz w:val="20"/>
          <w:szCs w:val="20"/>
          <w:lang w:val="fr-FR"/>
        </w:rPr>
        <w:t xml:space="preserve"> ; +358 </w:t>
      </w:r>
      <w:r w:rsidR="00450EAA" w:rsidRPr="00BF6545">
        <w:rPr>
          <w:rFonts w:ascii="Avenir LT Std 65 Medium" w:hAnsi="Avenir LT Std 65 Medium"/>
          <w:b/>
          <w:i/>
          <w:color w:val="00558C"/>
          <w:sz w:val="20"/>
          <w:szCs w:val="20"/>
          <w:lang w:val="fr-FR"/>
        </w:rPr>
        <w:t>295 34 3000</w:t>
      </w:r>
      <w:r w:rsidR="00AD6116" w:rsidRPr="00BF6545">
        <w:rPr>
          <w:rFonts w:ascii="Avenir LT Std 65 Medium" w:hAnsi="Avenir LT Std 65 Medium"/>
          <w:b/>
          <w:color w:val="00558C"/>
          <w:sz w:val="20"/>
          <w:szCs w:val="20"/>
          <w:lang w:val="fr-FR"/>
        </w:rPr>
        <w:t xml:space="preserve"> </w:t>
      </w:r>
      <w:r w:rsidRPr="00BF6545">
        <w:rPr>
          <w:rFonts w:ascii="Avenir LT Std 65 Medium" w:hAnsi="Avenir LT Std 65 Medium"/>
          <w:b/>
          <w:color w:val="auto"/>
          <w:sz w:val="20"/>
          <w:szCs w:val="20"/>
          <w:lang w:val="fr-FR"/>
        </w:rPr>
        <w:t>Mobile :</w:t>
      </w:r>
      <w:r w:rsidRPr="00BF6545">
        <w:rPr>
          <w:rFonts w:ascii="Avenir LT Std 65 Medium" w:hAnsi="Avenir LT Std 65 Medium"/>
          <w:b/>
          <w:color w:val="00558C"/>
          <w:sz w:val="20"/>
          <w:szCs w:val="20"/>
          <w:lang w:val="fr-FR"/>
        </w:rPr>
        <w:t xml:space="preserve"> </w:t>
      </w:r>
      <w:r w:rsidR="00967710" w:rsidRPr="00BF6545">
        <w:rPr>
          <w:rFonts w:ascii="Avenir LT Std 65 Medium" w:hAnsi="Avenir LT Std 65 Medium"/>
          <w:b/>
          <w:i/>
          <w:color w:val="00558C"/>
          <w:sz w:val="20"/>
          <w:szCs w:val="20"/>
          <w:lang w:val="fr-FR"/>
        </w:rPr>
        <w:t>+46 10</w:t>
      </w:r>
      <w:r w:rsidR="003B29CC" w:rsidRPr="00BF6545">
        <w:rPr>
          <w:rFonts w:ascii="Avenir LT Std 65 Medium" w:hAnsi="Avenir LT Std 65 Medium"/>
          <w:b/>
          <w:i/>
          <w:color w:val="00558C"/>
          <w:sz w:val="20"/>
          <w:szCs w:val="20"/>
          <w:lang w:val="fr-FR"/>
        </w:rPr>
        <w:t> </w:t>
      </w:r>
      <w:r w:rsidR="00967710" w:rsidRPr="00BF6545">
        <w:rPr>
          <w:rFonts w:ascii="Avenir LT Std 65 Medium" w:hAnsi="Avenir LT Std 65 Medium"/>
          <w:b/>
          <w:i/>
          <w:color w:val="00558C"/>
          <w:sz w:val="20"/>
          <w:szCs w:val="20"/>
          <w:lang w:val="fr-FR"/>
        </w:rPr>
        <w:t>478</w:t>
      </w:r>
      <w:r w:rsidR="003B29CC" w:rsidRPr="00BF6545">
        <w:rPr>
          <w:rFonts w:ascii="Avenir LT Std 65 Medium" w:hAnsi="Avenir LT Std 65 Medium"/>
          <w:b/>
          <w:i/>
          <w:color w:val="00558C"/>
          <w:sz w:val="20"/>
          <w:szCs w:val="20"/>
          <w:lang w:val="fr-FR"/>
        </w:rPr>
        <w:t xml:space="preserve"> </w:t>
      </w:r>
      <w:r w:rsidR="00967710" w:rsidRPr="00BF6545">
        <w:rPr>
          <w:rFonts w:ascii="Avenir LT Std 65 Medium" w:hAnsi="Avenir LT Std 65 Medium"/>
          <w:b/>
          <w:i/>
          <w:color w:val="00558C"/>
          <w:sz w:val="20"/>
          <w:szCs w:val="20"/>
          <w:lang w:val="fr-FR"/>
        </w:rPr>
        <w:t>4632</w:t>
      </w:r>
      <w:r w:rsidR="00AD6116" w:rsidRPr="00BF6545">
        <w:rPr>
          <w:rFonts w:ascii="Avenir LT Std 65 Medium" w:hAnsi="Avenir LT Std 65 Medium"/>
          <w:b/>
          <w:i/>
          <w:color w:val="00558C"/>
          <w:sz w:val="20"/>
          <w:szCs w:val="20"/>
          <w:lang w:val="fr-FR"/>
        </w:rPr>
        <w:t xml:space="preserve"> ; +358 </w:t>
      </w:r>
      <w:r w:rsidR="00450EAA" w:rsidRPr="00BF6545">
        <w:rPr>
          <w:rFonts w:ascii="Avenir LT Std 65 Medium" w:hAnsi="Avenir LT Std 65 Medium"/>
          <w:b/>
          <w:i/>
          <w:color w:val="00558C"/>
          <w:sz w:val="20"/>
          <w:szCs w:val="20"/>
          <w:lang w:val="fr-FR"/>
        </w:rPr>
        <w:t>40 8299895</w:t>
      </w:r>
    </w:p>
    <w:p w14:paraId="2A10E30C" w14:textId="234F21FD" w:rsidR="00993755" w:rsidRPr="00BF6545" w:rsidRDefault="00A15ED9" w:rsidP="003B29CC">
      <w:pPr>
        <w:pStyle w:val="Textedesaisie"/>
        <w:spacing w:after="120"/>
        <w:ind w:right="2154"/>
        <w:rPr>
          <w:rFonts w:ascii="Avenir LT Std 65 Medium" w:hAnsi="Avenir LT Std 65 Medium"/>
          <w:b/>
          <w:i/>
          <w:color w:val="00558C"/>
          <w:sz w:val="20"/>
          <w:szCs w:val="20"/>
          <w:lang w:val="fr-FR"/>
        </w:rPr>
      </w:pPr>
      <w:r w:rsidRPr="00BF6545">
        <w:rPr>
          <w:rFonts w:ascii="Avenir LT Std 65 Medium" w:hAnsi="Avenir LT Std 65 Medium"/>
          <w:b/>
          <w:color w:val="auto"/>
          <w:sz w:val="20"/>
          <w:szCs w:val="20"/>
          <w:lang w:val="fr-FR"/>
        </w:rPr>
        <w:t>e-mail(s)</w:t>
      </w:r>
      <w:r w:rsidR="00993755" w:rsidRPr="00BF6545">
        <w:rPr>
          <w:rFonts w:ascii="Avenir LT Std 65 Medium" w:hAnsi="Avenir LT Std 65 Medium"/>
          <w:b/>
          <w:color w:val="auto"/>
          <w:sz w:val="20"/>
          <w:szCs w:val="20"/>
          <w:lang w:val="fr-FR"/>
        </w:rPr>
        <w:t xml:space="preserve">: </w:t>
      </w:r>
      <w:hyperlink r:id="rId13" w:history="1">
        <w:r w:rsidR="00B339B5" w:rsidRPr="00BF6545">
          <w:rPr>
            <w:rStyle w:val="Hyperlnk"/>
            <w:rFonts w:ascii="Avenir LT Std 65 Medium" w:hAnsi="Avenir LT Std 65 Medium"/>
            <w:b/>
            <w:i/>
            <w:sz w:val="20"/>
            <w:szCs w:val="20"/>
            <w:lang w:val="fr-FR"/>
          </w:rPr>
          <w:t>Fredrik.karlsson@sjofartsverket.se</w:t>
        </w:r>
      </w:hyperlink>
      <w:r w:rsidR="00B339B5" w:rsidRPr="00BF6545">
        <w:rPr>
          <w:rFonts w:ascii="Avenir LT Std 65 Medium" w:hAnsi="Avenir LT Std 65 Medium"/>
          <w:b/>
          <w:i/>
          <w:color w:val="00558C"/>
          <w:sz w:val="20"/>
          <w:szCs w:val="20"/>
          <w:lang w:val="fr-FR"/>
        </w:rPr>
        <w:t xml:space="preserve"> ; </w:t>
      </w:r>
      <w:hyperlink r:id="rId14" w:history="1">
        <w:r w:rsidR="00BF6545" w:rsidRPr="00BF6545">
          <w:rPr>
            <w:rStyle w:val="Hyperlnk"/>
            <w:rFonts w:ascii="Avenir LT Std 65 Medium" w:hAnsi="Avenir LT Std 65 Medium"/>
            <w:b/>
            <w:i/>
            <w:sz w:val="20"/>
            <w:szCs w:val="20"/>
            <w:lang w:val="fr-FR"/>
          </w:rPr>
          <w:t>Tuomas.martikainen@fta.fi</w:t>
        </w:r>
      </w:hyperlink>
    </w:p>
    <w:p w14:paraId="3FFA6B6D" w14:textId="78F96CB4" w:rsidR="00BF6545" w:rsidRPr="004117D7" w:rsidRDefault="00BF6545" w:rsidP="003B29CC">
      <w:pPr>
        <w:pStyle w:val="Textedesaisie"/>
        <w:spacing w:after="120"/>
        <w:ind w:right="2154"/>
        <w:rPr>
          <w:rFonts w:ascii="Avenir LT Std 65 Medium" w:hAnsi="Avenir LT Std 65 Medium"/>
        </w:rPr>
      </w:pPr>
      <w:r>
        <w:rPr>
          <w:rFonts w:ascii="Avenir LT Std 65 Medium" w:hAnsi="Avenir LT Std 65 Medium"/>
          <w:b/>
          <w:i/>
          <w:color w:val="00558C"/>
          <w:sz w:val="20"/>
          <w:szCs w:val="20"/>
          <w:lang w:val="en-GB"/>
        </w:rPr>
        <w:t xml:space="preserve">(Fredrik is the proposed presenter; Fredrik &amp; </w:t>
      </w:r>
      <w:proofErr w:type="spellStart"/>
      <w:r>
        <w:rPr>
          <w:rFonts w:ascii="Avenir LT Std 65 Medium" w:hAnsi="Avenir LT Std 65 Medium"/>
          <w:b/>
          <w:i/>
          <w:color w:val="00558C"/>
          <w:sz w:val="20"/>
          <w:szCs w:val="20"/>
          <w:lang w:val="en-GB"/>
        </w:rPr>
        <w:t>Tuomas</w:t>
      </w:r>
      <w:proofErr w:type="spellEnd"/>
      <w:r>
        <w:rPr>
          <w:rFonts w:ascii="Avenir LT Std 65 Medium" w:hAnsi="Avenir LT Std 65 Medium"/>
          <w:b/>
          <w:i/>
          <w:color w:val="00558C"/>
          <w:sz w:val="20"/>
          <w:szCs w:val="20"/>
          <w:lang w:val="en-GB"/>
        </w:rPr>
        <w:t xml:space="preserve"> are both Authors of the abstract)</w:t>
      </w:r>
    </w:p>
    <w:p w14:paraId="462D7FA4" w14:textId="3641FCE2" w:rsidR="00E9080E" w:rsidRPr="00BF6545" w:rsidRDefault="00E9080E" w:rsidP="00993755">
      <w:pPr>
        <w:pStyle w:val="Textedesaisie"/>
        <w:rPr>
          <w:rFonts w:ascii="Avenir LT Std 65 Medium" w:hAnsi="Avenir LT Std 65 Medium"/>
          <w:color w:val="00B0F0"/>
          <w:sz w:val="24"/>
          <w:szCs w:val="24"/>
        </w:rPr>
      </w:pPr>
    </w:p>
    <w:p w14:paraId="783D1B30" w14:textId="36606FAE" w:rsidR="00993755" w:rsidRPr="001B1DBF" w:rsidRDefault="00993755" w:rsidP="00E32D31">
      <w:pPr>
        <w:pStyle w:val="Textedesaisie"/>
        <w:rPr>
          <w:rFonts w:ascii="Avenir LT Std 65 Medium" w:hAnsi="Avenir LT Std 65 Medium"/>
          <w:b/>
          <w:color w:val="00558C"/>
          <w:sz w:val="20"/>
          <w:szCs w:val="20"/>
        </w:rPr>
      </w:pPr>
      <w:r w:rsidRPr="00993755">
        <w:rPr>
          <w:rFonts w:ascii="Avenir LT Std 65 Medium" w:hAnsi="Avenir LT Std 65 Medium"/>
          <w:color w:val="00B0F0"/>
          <w:sz w:val="24"/>
          <w:szCs w:val="24"/>
          <w:lang w:val="en-GB"/>
        </w:rPr>
        <w:t>ABSTRACT / RESUME:</w:t>
      </w:r>
    </w:p>
    <w:p w14:paraId="4C134572" w14:textId="53916E28" w:rsidR="00BF6545" w:rsidRPr="00BF6545" w:rsidRDefault="00BF6545" w:rsidP="00E32D31">
      <w:pPr>
        <w:pStyle w:val="Textedesaisie"/>
        <w:spacing w:after="120"/>
        <w:ind w:right="28"/>
        <w:rPr>
          <w:rFonts w:ascii="Avenir LT Std 65 Medium" w:hAnsi="Avenir LT Std 65 Medium"/>
          <w:b/>
          <w:color w:val="00558C"/>
          <w:sz w:val="20"/>
          <w:szCs w:val="20"/>
          <w:u w:val="single"/>
          <w:lang w:val="en-GB"/>
        </w:rPr>
      </w:pPr>
      <w:r w:rsidRPr="00BF6545">
        <w:rPr>
          <w:rFonts w:ascii="Avenir LT Std 65 Medium" w:hAnsi="Avenir LT Std 65 Medium"/>
          <w:b/>
          <w:i/>
          <w:color w:val="00558C"/>
          <w:sz w:val="20"/>
          <w:szCs w:val="20"/>
          <w:u w:val="single"/>
        </w:rPr>
        <w:t>Voyage Exchange between Ship and VTS; the Route to the future?</w:t>
      </w:r>
    </w:p>
    <w:p w14:paraId="118893E7" w14:textId="368FF769" w:rsidR="00E32D31" w:rsidRPr="00C92A68" w:rsidRDefault="001B1DBF" w:rsidP="00E32D31">
      <w:pPr>
        <w:pStyle w:val="Textedesaisie"/>
        <w:spacing w:after="120"/>
        <w:ind w:right="28"/>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The Baltic Sea R</w:t>
      </w:r>
      <w:r w:rsidRPr="00C92A68">
        <w:rPr>
          <w:rFonts w:ascii="Avenir LT Std 65 Medium" w:hAnsi="Avenir LT Std 65 Medium"/>
          <w:b/>
          <w:color w:val="00558C"/>
          <w:sz w:val="20"/>
          <w:szCs w:val="20"/>
          <w:lang w:val="en-GB"/>
        </w:rPr>
        <w:t>egion is ready to take VTS</w:t>
      </w:r>
      <w:r w:rsidR="001B48DC">
        <w:rPr>
          <w:rFonts w:ascii="Avenir LT Std 65 Medium" w:hAnsi="Avenir LT Std 65 Medium"/>
          <w:b/>
          <w:color w:val="00558C"/>
          <w:sz w:val="20"/>
          <w:szCs w:val="20"/>
          <w:lang w:val="en-GB"/>
        </w:rPr>
        <w:t xml:space="preserve"> operations</w:t>
      </w:r>
      <w:r w:rsidRPr="00C92A68">
        <w:rPr>
          <w:rFonts w:ascii="Avenir LT Std 65 Medium" w:hAnsi="Avenir LT Std 65 Medium"/>
          <w:b/>
          <w:color w:val="00558C"/>
          <w:sz w:val="20"/>
          <w:szCs w:val="20"/>
          <w:lang w:val="en-GB"/>
        </w:rPr>
        <w:t xml:space="preserve"> to a new level with common situational awareness created through</w:t>
      </w:r>
      <w:r>
        <w:rPr>
          <w:rFonts w:ascii="Avenir LT Std 65 Medium" w:hAnsi="Avenir LT Std 65 Medium"/>
          <w:b/>
          <w:color w:val="00558C"/>
          <w:sz w:val="20"/>
          <w:szCs w:val="20"/>
          <w:lang w:val="en-GB"/>
        </w:rPr>
        <w:t xml:space="preserve"> shared information. </w:t>
      </w:r>
      <w:r w:rsidR="00E32D31" w:rsidRPr="00C92A68">
        <w:rPr>
          <w:rFonts w:ascii="Avenir LT Std 65 Medium" w:hAnsi="Avenir LT Std 65 Medium"/>
          <w:b/>
          <w:color w:val="00558C"/>
          <w:sz w:val="20"/>
          <w:szCs w:val="20"/>
          <w:lang w:val="en-GB"/>
        </w:rPr>
        <w:t xml:space="preserve">Enhanced Navigation Support Information (ENSI) </w:t>
      </w:r>
      <w:r>
        <w:rPr>
          <w:rFonts w:ascii="Avenir LT Std 65 Medium" w:hAnsi="Avenir LT Std 65 Medium"/>
          <w:b/>
          <w:color w:val="00558C"/>
          <w:sz w:val="20"/>
          <w:szCs w:val="20"/>
          <w:lang w:val="en-GB"/>
        </w:rPr>
        <w:t xml:space="preserve">is </w:t>
      </w:r>
      <w:r w:rsidRPr="00C92A68">
        <w:rPr>
          <w:rFonts w:ascii="Avenir LT Std 65 Medium" w:hAnsi="Avenir LT Std 65 Medium"/>
          <w:b/>
          <w:color w:val="00558C"/>
          <w:sz w:val="20"/>
          <w:szCs w:val="20"/>
          <w:lang w:val="en-GB"/>
        </w:rPr>
        <w:t xml:space="preserve">an operational system </w:t>
      </w:r>
      <w:r>
        <w:rPr>
          <w:rFonts w:ascii="Avenir LT Std 65 Medium" w:hAnsi="Avenir LT Std 65 Medium"/>
          <w:b/>
          <w:color w:val="00558C"/>
          <w:sz w:val="20"/>
          <w:szCs w:val="20"/>
          <w:lang w:val="en-GB"/>
        </w:rPr>
        <w:t xml:space="preserve">assisting traffic in </w:t>
      </w:r>
      <w:r w:rsidR="00915856">
        <w:rPr>
          <w:rFonts w:ascii="Avenir LT Std 65 Medium" w:hAnsi="Avenir LT Std 65 Medium"/>
          <w:b/>
          <w:color w:val="00558C"/>
          <w:sz w:val="20"/>
          <w:szCs w:val="20"/>
          <w:lang w:val="en-GB"/>
        </w:rPr>
        <w:t xml:space="preserve">the </w:t>
      </w:r>
      <w:r w:rsidR="001B48DC">
        <w:rPr>
          <w:rFonts w:ascii="Avenir LT Std 65 Medium" w:hAnsi="Avenir LT Std 65 Medium"/>
          <w:b/>
          <w:color w:val="00558C"/>
          <w:sz w:val="20"/>
          <w:szCs w:val="20"/>
          <w:lang w:val="en-GB"/>
        </w:rPr>
        <w:t>G</w:t>
      </w:r>
      <w:r w:rsidR="00915856">
        <w:rPr>
          <w:rFonts w:ascii="Avenir LT Std 65 Medium" w:hAnsi="Avenir LT Std 65 Medium"/>
          <w:b/>
          <w:color w:val="00558C"/>
          <w:sz w:val="20"/>
          <w:szCs w:val="20"/>
          <w:lang w:val="en-GB"/>
        </w:rPr>
        <w:t>ulf of Finland</w:t>
      </w:r>
      <w:r w:rsidRPr="00C92A68">
        <w:rPr>
          <w:rFonts w:ascii="Avenir LT Std 65 Medium" w:hAnsi="Avenir LT Std 65 Medium"/>
          <w:b/>
          <w:color w:val="00558C"/>
          <w:sz w:val="20"/>
          <w:szCs w:val="20"/>
          <w:lang w:val="en-GB"/>
        </w:rPr>
        <w:t xml:space="preserve">, </w:t>
      </w:r>
      <w:r w:rsidR="00E32D31" w:rsidRPr="00C92A68">
        <w:rPr>
          <w:rFonts w:ascii="Avenir LT Std 65 Medium" w:hAnsi="Avenir LT Std 65 Medium"/>
          <w:b/>
          <w:color w:val="00558C"/>
          <w:sz w:val="20"/>
          <w:szCs w:val="20"/>
          <w:lang w:val="en-GB"/>
        </w:rPr>
        <w:t xml:space="preserve">and </w:t>
      </w:r>
      <w:r>
        <w:rPr>
          <w:rFonts w:ascii="Avenir LT Std 65 Medium" w:hAnsi="Avenir LT Std 65 Medium"/>
          <w:b/>
          <w:color w:val="00558C"/>
          <w:sz w:val="20"/>
          <w:szCs w:val="20"/>
          <w:lang w:val="en-GB"/>
        </w:rPr>
        <w:t xml:space="preserve">the </w:t>
      </w:r>
      <w:r w:rsidR="00E32D31" w:rsidRPr="00C92A68">
        <w:rPr>
          <w:rFonts w:ascii="Avenir LT Std 65 Medium" w:hAnsi="Avenir LT Std 65 Medium"/>
          <w:b/>
          <w:color w:val="00558C"/>
          <w:sz w:val="20"/>
          <w:szCs w:val="20"/>
          <w:lang w:val="en-GB"/>
        </w:rPr>
        <w:t>S</w:t>
      </w:r>
      <w:r w:rsidR="00562F66">
        <w:rPr>
          <w:rFonts w:ascii="Avenir LT Std 65 Medium" w:hAnsi="Avenir LT Std 65 Medium"/>
          <w:b/>
          <w:color w:val="00558C"/>
          <w:sz w:val="20"/>
          <w:szCs w:val="20"/>
          <w:lang w:val="en-GB"/>
        </w:rPr>
        <w:t xml:space="preserve">ea </w:t>
      </w:r>
      <w:r w:rsidR="00E32D31" w:rsidRPr="00C92A68">
        <w:rPr>
          <w:rFonts w:ascii="Avenir LT Std 65 Medium" w:hAnsi="Avenir LT Std 65 Medium"/>
          <w:b/>
          <w:color w:val="00558C"/>
          <w:sz w:val="20"/>
          <w:szCs w:val="20"/>
          <w:lang w:val="en-GB"/>
        </w:rPr>
        <w:t>T</w:t>
      </w:r>
      <w:r w:rsidR="00562F66">
        <w:rPr>
          <w:rFonts w:ascii="Avenir LT Std 65 Medium" w:hAnsi="Avenir LT Std 65 Medium"/>
          <w:b/>
          <w:color w:val="00558C"/>
          <w:sz w:val="20"/>
          <w:szCs w:val="20"/>
          <w:lang w:val="en-GB"/>
        </w:rPr>
        <w:t xml:space="preserve">raffic </w:t>
      </w:r>
      <w:r w:rsidR="00E32D31" w:rsidRPr="00C92A68">
        <w:rPr>
          <w:rFonts w:ascii="Avenir LT Std 65 Medium" w:hAnsi="Avenir LT Std 65 Medium"/>
          <w:b/>
          <w:color w:val="00558C"/>
          <w:sz w:val="20"/>
          <w:szCs w:val="20"/>
          <w:lang w:val="en-GB"/>
        </w:rPr>
        <w:t>M</w:t>
      </w:r>
      <w:r w:rsidR="00562F66">
        <w:rPr>
          <w:rFonts w:ascii="Avenir LT Std 65 Medium" w:hAnsi="Avenir LT Std 65 Medium"/>
          <w:b/>
          <w:color w:val="00558C"/>
          <w:sz w:val="20"/>
          <w:szCs w:val="20"/>
          <w:lang w:val="en-GB"/>
        </w:rPr>
        <w:t>anagement</w:t>
      </w:r>
      <w:r w:rsidR="00E32D31" w:rsidRPr="00C92A68">
        <w:rPr>
          <w:rFonts w:ascii="Avenir LT Std 65 Medium" w:hAnsi="Avenir LT Std 65 Medium"/>
          <w:b/>
          <w:color w:val="00558C"/>
          <w:sz w:val="20"/>
          <w:szCs w:val="20"/>
          <w:lang w:val="en-GB"/>
        </w:rPr>
        <w:t xml:space="preserve"> Validation project </w:t>
      </w:r>
      <w:r>
        <w:rPr>
          <w:rFonts w:ascii="Avenir LT Std 65 Medium" w:hAnsi="Avenir LT Std 65 Medium"/>
          <w:b/>
          <w:color w:val="00558C"/>
          <w:sz w:val="20"/>
          <w:szCs w:val="20"/>
          <w:lang w:val="en-GB"/>
        </w:rPr>
        <w:t>is working in a</w:t>
      </w:r>
      <w:r w:rsidRPr="00C92A68">
        <w:rPr>
          <w:rFonts w:ascii="Avenir LT Std 65 Medium" w:hAnsi="Avenir LT Std 65 Medium"/>
          <w:b/>
          <w:color w:val="00558C"/>
          <w:sz w:val="20"/>
          <w:szCs w:val="20"/>
          <w:lang w:val="en-GB"/>
        </w:rPr>
        <w:t xml:space="preserve"> </w:t>
      </w:r>
      <w:r>
        <w:rPr>
          <w:rFonts w:ascii="Avenir LT Std 65 Medium" w:hAnsi="Avenir LT Std 65 Medium"/>
          <w:b/>
          <w:color w:val="00558C"/>
          <w:sz w:val="20"/>
          <w:szCs w:val="20"/>
          <w:lang w:val="en-GB"/>
        </w:rPr>
        <w:t xml:space="preserve">huge </w:t>
      </w:r>
      <w:r w:rsidRPr="00C92A68">
        <w:rPr>
          <w:rFonts w:ascii="Avenir LT Std 65 Medium" w:hAnsi="Avenir LT Std 65 Medium"/>
          <w:b/>
          <w:color w:val="00558C"/>
          <w:sz w:val="20"/>
          <w:szCs w:val="20"/>
          <w:lang w:val="en-GB"/>
        </w:rPr>
        <w:t xml:space="preserve">testbed </w:t>
      </w:r>
      <w:r w:rsidR="00E32D31" w:rsidRPr="00C92A68">
        <w:rPr>
          <w:rFonts w:ascii="Avenir LT Std 65 Medium" w:hAnsi="Avenir LT Std 65 Medium"/>
          <w:b/>
          <w:color w:val="00558C"/>
          <w:sz w:val="20"/>
          <w:szCs w:val="20"/>
          <w:lang w:val="en-GB"/>
        </w:rPr>
        <w:t xml:space="preserve">that </w:t>
      </w:r>
      <w:r>
        <w:rPr>
          <w:rFonts w:ascii="Avenir LT Std 65 Medium" w:hAnsi="Avenir LT Std 65 Medium"/>
          <w:b/>
          <w:color w:val="00558C"/>
          <w:sz w:val="20"/>
          <w:szCs w:val="20"/>
          <w:lang w:val="en-GB"/>
        </w:rPr>
        <w:t xml:space="preserve">includes </w:t>
      </w:r>
      <w:r w:rsidR="00E32D31" w:rsidRPr="00C92A68">
        <w:rPr>
          <w:rFonts w:ascii="Avenir LT Std 65 Medium" w:hAnsi="Avenir LT Std 65 Medium"/>
          <w:b/>
          <w:color w:val="00558C"/>
          <w:sz w:val="20"/>
          <w:szCs w:val="20"/>
          <w:lang w:val="en-GB"/>
        </w:rPr>
        <w:t>over 300 ships, 13 ports and 6 different VTS</w:t>
      </w:r>
      <w:r w:rsidR="00BC58D3">
        <w:rPr>
          <w:rFonts w:ascii="Avenir LT Std 65 Medium" w:hAnsi="Avenir LT Std 65 Medium"/>
          <w:b/>
          <w:color w:val="00558C"/>
          <w:sz w:val="20"/>
          <w:szCs w:val="20"/>
          <w:lang w:val="en-GB"/>
        </w:rPr>
        <w:t xml:space="preserve"> </w:t>
      </w:r>
      <w:r w:rsidR="00450EAA">
        <w:rPr>
          <w:rFonts w:ascii="Avenir LT Std 65 Medium" w:hAnsi="Avenir LT Std 65 Medium"/>
          <w:b/>
          <w:color w:val="00558C"/>
          <w:sz w:val="20"/>
          <w:szCs w:val="20"/>
          <w:lang w:val="en-GB"/>
        </w:rPr>
        <w:t>centres</w:t>
      </w:r>
      <w:r>
        <w:rPr>
          <w:rFonts w:ascii="Avenir LT Std 65 Medium" w:hAnsi="Avenir LT Std 65 Medium"/>
          <w:b/>
          <w:color w:val="00558C"/>
          <w:sz w:val="20"/>
          <w:szCs w:val="20"/>
          <w:lang w:val="en-GB"/>
        </w:rPr>
        <w:t xml:space="preserve"> </w:t>
      </w:r>
      <w:r w:rsidR="00BC58D3">
        <w:rPr>
          <w:rFonts w:ascii="Avenir LT Std 65 Medium" w:hAnsi="Avenir LT Std 65 Medium"/>
          <w:b/>
          <w:color w:val="00558C"/>
          <w:sz w:val="20"/>
          <w:szCs w:val="20"/>
          <w:lang w:val="en-GB"/>
        </w:rPr>
        <w:t>in 4 countries</w:t>
      </w:r>
      <w:r>
        <w:rPr>
          <w:rFonts w:ascii="Avenir LT Std 65 Medium" w:hAnsi="Avenir LT Std 65 Medium"/>
          <w:b/>
          <w:color w:val="00558C"/>
          <w:sz w:val="20"/>
          <w:szCs w:val="20"/>
          <w:lang w:val="en-GB"/>
        </w:rPr>
        <w:t>.</w:t>
      </w:r>
      <w:r w:rsidR="00E32D31" w:rsidRPr="00C92A68">
        <w:rPr>
          <w:rFonts w:ascii="Avenir LT Std 65 Medium" w:hAnsi="Avenir LT Std 65 Medium"/>
          <w:b/>
          <w:color w:val="00558C"/>
          <w:sz w:val="20"/>
          <w:szCs w:val="20"/>
          <w:lang w:val="en-GB"/>
        </w:rPr>
        <w:t xml:space="preserve"> </w:t>
      </w:r>
    </w:p>
    <w:p w14:paraId="3F9EBD7D" w14:textId="1DCC2CC0" w:rsidR="00E32D31" w:rsidRPr="00C92A68" w:rsidRDefault="00C32E48" w:rsidP="00E32D31">
      <w:pPr>
        <w:pStyle w:val="Textedesaisie"/>
        <w:spacing w:after="120"/>
        <w:ind w:right="28"/>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 xml:space="preserve">VTS, port operations and coastal security will benefit from </w:t>
      </w:r>
      <w:r w:rsidR="00E32D31" w:rsidRPr="00C92A68">
        <w:rPr>
          <w:rFonts w:ascii="Avenir LT Std 65 Medium" w:hAnsi="Avenir LT Std 65 Medium"/>
          <w:b/>
          <w:color w:val="00558C"/>
          <w:sz w:val="20"/>
          <w:szCs w:val="20"/>
          <w:lang w:val="en-GB"/>
        </w:rPr>
        <w:t>new</w:t>
      </w:r>
      <w:r>
        <w:rPr>
          <w:rFonts w:ascii="Avenir LT Std 65 Medium" w:hAnsi="Avenir LT Std 65 Medium"/>
          <w:b/>
          <w:color w:val="00558C"/>
          <w:sz w:val="20"/>
          <w:szCs w:val="20"/>
          <w:lang w:val="en-GB"/>
        </w:rPr>
        <w:t xml:space="preserve"> and improved</w:t>
      </w:r>
      <w:r w:rsidR="00E32D31" w:rsidRPr="00C92A68">
        <w:rPr>
          <w:rFonts w:ascii="Avenir LT Std 65 Medium" w:hAnsi="Avenir LT Std 65 Medium"/>
          <w:b/>
          <w:color w:val="00558C"/>
          <w:sz w:val="20"/>
          <w:szCs w:val="20"/>
          <w:lang w:val="en-GB"/>
        </w:rPr>
        <w:t xml:space="preserve"> </w:t>
      </w:r>
      <w:r>
        <w:rPr>
          <w:rFonts w:ascii="Avenir LT Std 65 Medium" w:hAnsi="Avenir LT Std 65 Medium"/>
          <w:b/>
          <w:color w:val="00558C"/>
          <w:sz w:val="20"/>
          <w:szCs w:val="20"/>
          <w:lang w:val="en-GB"/>
        </w:rPr>
        <w:t xml:space="preserve">ENSI and STM </w:t>
      </w:r>
      <w:r w:rsidR="00E32D31" w:rsidRPr="00C92A68">
        <w:rPr>
          <w:rFonts w:ascii="Avenir LT Std 65 Medium" w:hAnsi="Avenir LT Std 65 Medium"/>
          <w:b/>
          <w:color w:val="00558C"/>
          <w:sz w:val="20"/>
          <w:szCs w:val="20"/>
          <w:lang w:val="en-GB"/>
        </w:rPr>
        <w:t xml:space="preserve">services </w:t>
      </w:r>
      <w:r>
        <w:rPr>
          <w:rFonts w:ascii="Avenir LT Std 65 Medium" w:hAnsi="Avenir LT Std 65 Medium"/>
          <w:b/>
          <w:color w:val="00558C"/>
          <w:sz w:val="20"/>
          <w:szCs w:val="20"/>
          <w:lang w:val="en-GB"/>
        </w:rPr>
        <w:t>introduced on a large scale throughout the Baltic</w:t>
      </w:r>
      <w:r w:rsidR="001B48DC">
        <w:rPr>
          <w:rFonts w:ascii="Avenir LT Std 65 Medium" w:hAnsi="Avenir LT Std 65 Medium"/>
          <w:b/>
          <w:color w:val="00558C"/>
          <w:sz w:val="20"/>
          <w:szCs w:val="20"/>
          <w:lang w:val="en-GB"/>
        </w:rPr>
        <w:t>.</w:t>
      </w:r>
    </w:p>
    <w:p w14:paraId="47D84392" w14:textId="6F01214D" w:rsidR="00E32D31" w:rsidRPr="00C92A68" w:rsidRDefault="00E32D31" w:rsidP="00E32D31">
      <w:pPr>
        <w:pStyle w:val="Textedesaisie"/>
        <w:spacing w:after="120"/>
        <w:ind w:right="28"/>
        <w:rPr>
          <w:rFonts w:ascii="Avenir LT Std 65 Medium" w:hAnsi="Avenir LT Std 65 Medium"/>
          <w:b/>
          <w:color w:val="00558C"/>
          <w:sz w:val="20"/>
          <w:szCs w:val="20"/>
          <w:lang w:val="en-GB"/>
        </w:rPr>
      </w:pPr>
      <w:r w:rsidRPr="00C92A68">
        <w:rPr>
          <w:rFonts w:ascii="Avenir LT Std 65 Medium" w:hAnsi="Avenir LT Std 65 Medium"/>
          <w:b/>
          <w:color w:val="00558C"/>
          <w:sz w:val="20"/>
          <w:szCs w:val="20"/>
          <w:lang w:val="en-GB"/>
        </w:rPr>
        <w:t xml:space="preserve">This presentation will elaborate on </w:t>
      </w:r>
      <w:r>
        <w:rPr>
          <w:rFonts w:ascii="Avenir LT Std 65 Medium" w:hAnsi="Avenir LT Std 65 Medium"/>
          <w:b/>
          <w:color w:val="00558C"/>
          <w:sz w:val="20"/>
          <w:szCs w:val="20"/>
          <w:lang w:val="en-GB"/>
        </w:rPr>
        <w:t xml:space="preserve">the </w:t>
      </w:r>
      <w:r w:rsidRPr="00C92A68">
        <w:rPr>
          <w:rFonts w:ascii="Avenir LT Std 65 Medium" w:hAnsi="Avenir LT Std 65 Medium"/>
          <w:b/>
          <w:color w:val="00558C"/>
          <w:sz w:val="20"/>
          <w:szCs w:val="20"/>
          <w:lang w:val="en-GB"/>
        </w:rPr>
        <w:t>new enhanced functio</w:t>
      </w:r>
      <w:r>
        <w:rPr>
          <w:rFonts w:ascii="Avenir LT Std 65 Medium" w:hAnsi="Avenir LT Std 65 Medium"/>
          <w:b/>
          <w:color w:val="00558C"/>
          <w:sz w:val="20"/>
          <w:szCs w:val="20"/>
          <w:lang w:val="en-GB"/>
        </w:rPr>
        <w:t>nality for VTS operations powered</w:t>
      </w:r>
      <w:r w:rsidRPr="00C92A68">
        <w:rPr>
          <w:rFonts w:ascii="Avenir LT Std 65 Medium" w:hAnsi="Avenir LT Std 65 Medium"/>
          <w:b/>
          <w:color w:val="00558C"/>
          <w:sz w:val="20"/>
          <w:szCs w:val="20"/>
          <w:lang w:val="en-GB"/>
        </w:rPr>
        <w:t xml:space="preserve"> by common information shared between ship and shore such as </w:t>
      </w:r>
      <w:r w:rsidR="00562F66">
        <w:rPr>
          <w:rFonts w:ascii="Avenir LT Std 65 Medium" w:hAnsi="Avenir LT Std 65 Medium"/>
          <w:b/>
          <w:color w:val="00558C"/>
          <w:sz w:val="20"/>
          <w:szCs w:val="20"/>
          <w:lang w:val="en-GB"/>
        </w:rPr>
        <w:t xml:space="preserve">exchange of </w:t>
      </w:r>
      <w:r w:rsidR="002055CE">
        <w:rPr>
          <w:rFonts w:ascii="Avenir LT Std 65 Medium" w:hAnsi="Avenir LT Std 65 Medium"/>
          <w:b/>
          <w:color w:val="00558C"/>
          <w:sz w:val="20"/>
          <w:szCs w:val="20"/>
          <w:lang w:val="en-GB"/>
        </w:rPr>
        <w:t xml:space="preserve">detailed </w:t>
      </w:r>
      <w:r w:rsidR="00562F66">
        <w:rPr>
          <w:rFonts w:ascii="Avenir LT Std 65 Medium" w:hAnsi="Avenir LT Std 65 Medium"/>
          <w:b/>
          <w:color w:val="00558C"/>
          <w:sz w:val="20"/>
          <w:szCs w:val="20"/>
          <w:lang w:val="en-GB"/>
        </w:rPr>
        <w:t xml:space="preserve">voyage plans, </w:t>
      </w:r>
      <w:r w:rsidRPr="00C92A68">
        <w:rPr>
          <w:rFonts w:ascii="Avenir LT Std 65 Medium" w:hAnsi="Avenir LT Std 65 Medium"/>
          <w:b/>
          <w:color w:val="00558C"/>
          <w:sz w:val="20"/>
          <w:szCs w:val="20"/>
          <w:lang w:val="en-GB"/>
        </w:rPr>
        <w:t>automated monitoring and new means of pr</w:t>
      </w:r>
      <w:r w:rsidR="002055CE">
        <w:rPr>
          <w:rFonts w:ascii="Avenir LT Std 65 Medium" w:hAnsi="Avenir LT Std 65 Medium"/>
          <w:b/>
          <w:color w:val="00558C"/>
          <w:sz w:val="20"/>
          <w:szCs w:val="20"/>
          <w:lang w:val="en-GB"/>
        </w:rPr>
        <w:t>oviding</w:t>
      </w:r>
      <w:r w:rsidRPr="00C92A68">
        <w:rPr>
          <w:rFonts w:ascii="Avenir LT Std 65 Medium" w:hAnsi="Avenir LT Std 65 Medium"/>
          <w:b/>
          <w:color w:val="00558C"/>
          <w:sz w:val="20"/>
          <w:szCs w:val="20"/>
          <w:lang w:val="en-GB"/>
        </w:rPr>
        <w:t xml:space="preserve"> </w:t>
      </w:r>
      <w:r w:rsidR="00562F66">
        <w:rPr>
          <w:rFonts w:ascii="Avenir LT Std 65 Medium" w:hAnsi="Avenir LT Std 65 Medium"/>
          <w:b/>
          <w:color w:val="00558C"/>
          <w:sz w:val="20"/>
          <w:szCs w:val="20"/>
          <w:lang w:val="en-GB"/>
        </w:rPr>
        <w:t xml:space="preserve">Traffic Organisation and </w:t>
      </w:r>
      <w:r w:rsidRPr="00C92A68">
        <w:rPr>
          <w:rFonts w:ascii="Avenir LT Std 65 Medium" w:hAnsi="Avenir LT Std 65 Medium"/>
          <w:b/>
          <w:color w:val="00558C"/>
          <w:sz w:val="20"/>
          <w:szCs w:val="20"/>
          <w:lang w:val="en-GB"/>
        </w:rPr>
        <w:t>Navigational Assistance Service</w:t>
      </w:r>
      <w:r w:rsidR="00562F66">
        <w:rPr>
          <w:rFonts w:ascii="Avenir LT Std 65 Medium" w:hAnsi="Avenir LT Std 65 Medium"/>
          <w:b/>
          <w:color w:val="00558C"/>
          <w:sz w:val="20"/>
          <w:szCs w:val="20"/>
          <w:lang w:val="en-GB"/>
        </w:rPr>
        <w:t>s</w:t>
      </w:r>
      <w:r w:rsidRPr="00C92A68">
        <w:rPr>
          <w:rFonts w:ascii="Avenir LT Std 65 Medium" w:hAnsi="Avenir LT Std 65 Medium"/>
          <w:b/>
          <w:color w:val="00558C"/>
          <w:sz w:val="20"/>
          <w:szCs w:val="20"/>
          <w:lang w:val="en-GB"/>
        </w:rPr>
        <w:t xml:space="preserve">. </w:t>
      </w:r>
      <w:r w:rsidR="00562F66">
        <w:rPr>
          <w:rFonts w:ascii="Avenir LT Std 65 Medium" w:hAnsi="Avenir LT Std 65 Medium"/>
          <w:b/>
          <w:color w:val="00558C"/>
          <w:sz w:val="20"/>
          <w:szCs w:val="20"/>
          <w:lang w:val="en-GB"/>
        </w:rPr>
        <w:t xml:space="preserve">Sharing of information and </w:t>
      </w:r>
      <w:r w:rsidR="00562F66" w:rsidRPr="00C92A68">
        <w:rPr>
          <w:rFonts w:ascii="Avenir LT Std 65 Medium" w:hAnsi="Avenir LT Std 65 Medium"/>
          <w:b/>
          <w:color w:val="00558C"/>
          <w:sz w:val="20"/>
          <w:szCs w:val="20"/>
          <w:lang w:val="en-GB"/>
        </w:rPr>
        <w:t xml:space="preserve">collaborative </w:t>
      </w:r>
      <w:r w:rsidR="00BF6545" w:rsidRPr="00C92A68">
        <w:rPr>
          <w:rFonts w:ascii="Avenir LT Std 65 Medium" w:hAnsi="Avenir LT Std 65 Medium"/>
          <w:b/>
          <w:color w:val="00558C"/>
          <w:sz w:val="20"/>
          <w:szCs w:val="20"/>
          <w:lang w:val="en-GB"/>
        </w:rPr>
        <w:t>decision-making</w:t>
      </w:r>
      <w:r w:rsidR="00450EAA" w:rsidRPr="00C92A68">
        <w:rPr>
          <w:rFonts w:ascii="Avenir LT Std 65 Medium" w:hAnsi="Avenir LT Std 65 Medium"/>
          <w:b/>
          <w:color w:val="00558C"/>
          <w:sz w:val="20"/>
          <w:szCs w:val="20"/>
          <w:lang w:val="en-GB"/>
        </w:rPr>
        <w:t xml:space="preserve"> </w:t>
      </w:r>
      <w:r w:rsidR="00450EAA">
        <w:rPr>
          <w:rFonts w:ascii="Avenir LT Std 65 Medium" w:hAnsi="Avenir LT Std 65 Medium"/>
          <w:b/>
          <w:color w:val="00558C"/>
          <w:sz w:val="20"/>
          <w:szCs w:val="20"/>
          <w:lang w:val="en-GB"/>
        </w:rPr>
        <w:t>will</w:t>
      </w:r>
      <w:r w:rsidR="00562F66">
        <w:rPr>
          <w:rFonts w:ascii="Avenir LT Std 65 Medium" w:hAnsi="Avenir LT Std 65 Medium"/>
          <w:b/>
          <w:color w:val="00558C"/>
          <w:sz w:val="20"/>
          <w:szCs w:val="20"/>
          <w:lang w:val="en-GB"/>
        </w:rPr>
        <w:t xml:space="preserve"> also lead to i</w:t>
      </w:r>
      <w:r w:rsidRPr="00C92A68">
        <w:rPr>
          <w:rFonts w:ascii="Avenir LT Std 65 Medium" w:hAnsi="Avenir LT Std 65 Medium"/>
          <w:b/>
          <w:color w:val="00558C"/>
          <w:sz w:val="20"/>
          <w:szCs w:val="20"/>
          <w:lang w:val="en-GB"/>
        </w:rPr>
        <w:t>mproved predictability and efficiency in ports</w:t>
      </w:r>
      <w:r w:rsidR="00450EAA">
        <w:rPr>
          <w:rFonts w:ascii="Avenir LT Std 65 Medium" w:hAnsi="Avenir LT Std 65 Medium"/>
          <w:b/>
          <w:color w:val="00558C"/>
          <w:sz w:val="20"/>
          <w:szCs w:val="20"/>
          <w:lang w:val="en-GB"/>
        </w:rPr>
        <w:t>,</w:t>
      </w:r>
      <w:r w:rsidRPr="00C92A68">
        <w:rPr>
          <w:rFonts w:ascii="Avenir LT Std 65 Medium" w:hAnsi="Avenir LT Std 65 Medium"/>
          <w:b/>
          <w:color w:val="00558C"/>
          <w:sz w:val="20"/>
          <w:szCs w:val="20"/>
          <w:lang w:val="en-GB"/>
        </w:rPr>
        <w:t xml:space="preserve"> which in turn not only gives more efficient port</w:t>
      </w:r>
      <w:r w:rsidR="00450EAA">
        <w:rPr>
          <w:rFonts w:ascii="Avenir LT Std 65 Medium" w:hAnsi="Avenir LT Std 65 Medium"/>
          <w:b/>
          <w:color w:val="00558C"/>
          <w:sz w:val="20"/>
          <w:szCs w:val="20"/>
          <w:lang w:val="en-GB"/>
        </w:rPr>
        <w:t xml:space="preserve"> operations</w:t>
      </w:r>
      <w:r w:rsidRPr="00C92A68">
        <w:rPr>
          <w:rFonts w:ascii="Avenir LT Std 65 Medium" w:hAnsi="Avenir LT Std 65 Medium"/>
          <w:b/>
          <w:color w:val="00558C"/>
          <w:sz w:val="20"/>
          <w:szCs w:val="20"/>
          <w:lang w:val="en-GB"/>
        </w:rPr>
        <w:t xml:space="preserve"> but also create</w:t>
      </w:r>
      <w:r w:rsidR="00562F66">
        <w:rPr>
          <w:rFonts w:ascii="Avenir LT Std 65 Medium" w:hAnsi="Avenir LT Std 65 Medium"/>
          <w:b/>
          <w:color w:val="00558C"/>
          <w:sz w:val="20"/>
          <w:szCs w:val="20"/>
          <w:lang w:val="en-GB"/>
        </w:rPr>
        <w:t>s</w:t>
      </w:r>
      <w:r w:rsidRPr="00C92A68">
        <w:rPr>
          <w:rFonts w:ascii="Avenir LT Std 65 Medium" w:hAnsi="Avenir LT Std 65 Medium"/>
          <w:b/>
          <w:color w:val="00558C"/>
          <w:sz w:val="20"/>
          <w:szCs w:val="20"/>
          <w:lang w:val="en-GB"/>
        </w:rPr>
        <w:t xml:space="preserve"> means for right and green steaming </w:t>
      </w:r>
      <w:r w:rsidR="00562F66">
        <w:rPr>
          <w:rFonts w:ascii="Avenir LT Std 65 Medium" w:hAnsi="Avenir LT Std 65 Medium"/>
          <w:b/>
          <w:color w:val="00558C"/>
          <w:sz w:val="20"/>
          <w:szCs w:val="20"/>
          <w:lang w:val="en-GB"/>
        </w:rPr>
        <w:t xml:space="preserve">for the whole voyage </w:t>
      </w:r>
      <w:r>
        <w:rPr>
          <w:rFonts w:ascii="Avenir LT Std 65 Medium" w:hAnsi="Avenir LT Std 65 Medium"/>
          <w:b/>
          <w:color w:val="00558C"/>
          <w:sz w:val="20"/>
          <w:szCs w:val="20"/>
          <w:lang w:val="en-GB"/>
        </w:rPr>
        <w:t>and increased possibilities to manage vessel traffic</w:t>
      </w:r>
      <w:r w:rsidR="00562F66">
        <w:rPr>
          <w:rFonts w:ascii="Avenir LT Std 65 Medium" w:hAnsi="Avenir LT Std 65 Medium"/>
          <w:b/>
          <w:color w:val="00558C"/>
          <w:sz w:val="20"/>
          <w:szCs w:val="20"/>
          <w:lang w:val="en-GB"/>
        </w:rPr>
        <w:t>.</w:t>
      </w:r>
      <w:r w:rsidRPr="00C92A68">
        <w:rPr>
          <w:rFonts w:ascii="Avenir LT Std 65 Medium" w:hAnsi="Avenir LT Std 65 Medium"/>
          <w:b/>
          <w:color w:val="00558C"/>
          <w:sz w:val="20"/>
          <w:szCs w:val="20"/>
          <w:lang w:val="en-GB"/>
        </w:rPr>
        <w:t xml:space="preserve"> </w:t>
      </w:r>
      <w:r w:rsidR="00915856">
        <w:rPr>
          <w:rFonts w:ascii="Avenir LT Std 65 Medium" w:hAnsi="Avenir LT Std 65 Medium"/>
          <w:b/>
          <w:color w:val="00558C"/>
          <w:sz w:val="20"/>
          <w:szCs w:val="20"/>
          <w:lang w:val="en-GB"/>
        </w:rPr>
        <w:t>All this is in line with the IMO concept of e-Navigation and the derived Maritime Service Portfolios (MSP) 1,</w:t>
      </w:r>
      <w:r w:rsidR="00562F66">
        <w:rPr>
          <w:rFonts w:ascii="Avenir LT Std 65 Medium" w:hAnsi="Avenir LT Std 65 Medium"/>
          <w:b/>
          <w:color w:val="00558C"/>
          <w:sz w:val="20"/>
          <w:szCs w:val="20"/>
          <w:lang w:val="en-GB"/>
        </w:rPr>
        <w:t xml:space="preserve"> </w:t>
      </w:r>
      <w:r w:rsidR="00915856">
        <w:rPr>
          <w:rFonts w:ascii="Avenir LT Std 65 Medium" w:hAnsi="Avenir LT Std 65 Medium"/>
          <w:b/>
          <w:color w:val="00558C"/>
          <w:sz w:val="20"/>
          <w:szCs w:val="20"/>
          <w:lang w:val="en-GB"/>
        </w:rPr>
        <w:t xml:space="preserve">2 and 3. </w:t>
      </w:r>
      <w:r w:rsidRPr="00C92A68">
        <w:rPr>
          <w:rFonts w:ascii="Avenir LT Std 65 Medium" w:hAnsi="Avenir LT Std 65 Medium"/>
          <w:b/>
          <w:color w:val="00558C"/>
          <w:sz w:val="20"/>
          <w:szCs w:val="20"/>
          <w:lang w:val="en-GB"/>
        </w:rPr>
        <w:t xml:space="preserve">The presentation will also discuss </w:t>
      </w:r>
      <w:r>
        <w:rPr>
          <w:rFonts w:ascii="Avenir LT Std 65 Medium" w:hAnsi="Avenir LT Std 65 Medium"/>
          <w:b/>
          <w:color w:val="00558C"/>
          <w:sz w:val="20"/>
          <w:szCs w:val="20"/>
          <w:lang w:val="en-GB"/>
        </w:rPr>
        <w:t xml:space="preserve">the </w:t>
      </w:r>
      <w:r w:rsidR="00450EAA" w:rsidRPr="00C92A68">
        <w:rPr>
          <w:rFonts w:ascii="Avenir LT Std 65 Medium" w:hAnsi="Avenir LT Std 65 Medium"/>
          <w:b/>
          <w:color w:val="00558C"/>
          <w:sz w:val="20"/>
          <w:szCs w:val="20"/>
          <w:lang w:val="en-GB"/>
        </w:rPr>
        <w:t>next step</w:t>
      </w:r>
      <w:r w:rsidR="00450EAA">
        <w:rPr>
          <w:rFonts w:ascii="Avenir LT Std 65 Medium" w:hAnsi="Avenir LT Std 65 Medium"/>
          <w:b/>
          <w:color w:val="00558C"/>
          <w:sz w:val="20"/>
          <w:szCs w:val="20"/>
          <w:lang w:val="en-GB"/>
        </w:rPr>
        <w:t>s</w:t>
      </w:r>
      <w:r w:rsidR="00450EAA" w:rsidRPr="00C92A68">
        <w:rPr>
          <w:rFonts w:ascii="Avenir LT Std 65 Medium" w:hAnsi="Avenir LT Std 65 Medium"/>
          <w:b/>
          <w:color w:val="00558C"/>
          <w:sz w:val="20"/>
          <w:szCs w:val="20"/>
          <w:lang w:val="en-GB"/>
        </w:rPr>
        <w:t xml:space="preserve"> for the concept</w:t>
      </w:r>
      <w:r w:rsidR="00450EAA">
        <w:rPr>
          <w:rFonts w:ascii="Avenir LT Std 65 Medium" w:hAnsi="Avenir LT Std 65 Medium"/>
          <w:b/>
          <w:color w:val="00558C"/>
          <w:sz w:val="20"/>
          <w:szCs w:val="20"/>
          <w:lang w:val="en-GB"/>
        </w:rPr>
        <w:t xml:space="preserve">s of ENSI and STM and </w:t>
      </w:r>
      <w:r w:rsidR="002055CE">
        <w:rPr>
          <w:rFonts w:ascii="Avenir LT Std 65 Medium" w:hAnsi="Avenir LT Std 65 Medium"/>
          <w:b/>
          <w:color w:val="00558C"/>
          <w:sz w:val="20"/>
          <w:szCs w:val="20"/>
          <w:lang w:val="en-GB"/>
        </w:rPr>
        <w:t xml:space="preserve">the </w:t>
      </w:r>
      <w:r w:rsidRPr="00E13E5E">
        <w:rPr>
          <w:rFonts w:ascii="Avenir LT Std 65 Medium" w:hAnsi="Avenir LT Std 65 Medium"/>
          <w:b/>
          <w:color w:val="00558C"/>
          <w:sz w:val="20"/>
          <w:szCs w:val="20"/>
          <w:lang w:val="en-GB"/>
        </w:rPr>
        <w:t>expansion</w:t>
      </w:r>
      <w:r>
        <w:rPr>
          <w:rFonts w:ascii="Avenir LT Std 65 Medium" w:hAnsi="Avenir LT Std 65 Medium"/>
          <w:b/>
          <w:color w:val="00558C"/>
          <w:sz w:val="20"/>
          <w:szCs w:val="20"/>
          <w:lang w:val="en-GB"/>
        </w:rPr>
        <w:t xml:space="preserve"> of</w:t>
      </w:r>
      <w:r w:rsidRPr="00C92A68">
        <w:rPr>
          <w:rFonts w:ascii="Avenir LT Std 65 Medium" w:hAnsi="Avenir LT Std 65 Medium"/>
          <w:b/>
          <w:color w:val="00558C"/>
          <w:sz w:val="20"/>
          <w:szCs w:val="20"/>
          <w:lang w:val="en-GB"/>
        </w:rPr>
        <w:t xml:space="preserve"> </w:t>
      </w:r>
      <w:r w:rsidR="001B1DBF">
        <w:rPr>
          <w:rFonts w:ascii="Avenir LT Std 65 Medium" w:hAnsi="Avenir LT Std 65 Medium"/>
          <w:b/>
          <w:color w:val="00558C"/>
          <w:sz w:val="20"/>
          <w:szCs w:val="20"/>
          <w:lang w:val="en-GB"/>
        </w:rPr>
        <w:t xml:space="preserve">STM </w:t>
      </w:r>
      <w:r>
        <w:rPr>
          <w:rFonts w:ascii="Avenir LT Std 65 Medium" w:hAnsi="Avenir LT Std 65 Medium"/>
          <w:b/>
          <w:color w:val="00558C"/>
          <w:sz w:val="20"/>
          <w:szCs w:val="20"/>
          <w:lang w:val="en-GB"/>
        </w:rPr>
        <w:t>in the Baltic Sea Region</w:t>
      </w:r>
      <w:r w:rsidR="00450EAA">
        <w:rPr>
          <w:rFonts w:ascii="Avenir LT Std 65 Medium" w:hAnsi="Avenir LT Std 65 Medium"/>
          <w:b/>
          <w:color w:val="00558C"/>
          <w:sz w:val="20"/>
          <w:szCs w:val="20"/>
          <w:lang w:val="en-GB"/>
        </w:rPr>
        <w:t>.</w:t>
      </w:r>
      <w:r>
        <w:rPr>
          <w:rFonts w:ascii="Avenir LT Std 65 Medium" w:hAnsi="Avenir LT Std 65 Medium"/>
          <w:b/>
          <w:color w:val="00558C"/>
          <w:sz w:val="20"/>
          <w:szCs w:val="20"/>
          <w:lang w:val="en-GB"/>
        </w:rPr>
        <w:t xml:space="preserve"> </w:t>
      </w:r>
    </w:p>
    <w:p w14:paraId="5D0174F2" w14:textId="33826489" w:rsidR="00993755" w:rsidRPr="00E32D31" w:rsidRDefault="00993755" w:rsidP="00993755">
      <w:pPr>
        <w:pStyle w:val="Textedesaisie"/>
        <w:spacing w:after="120"/>
        <w:ind w:right="28"/>
        <w:rPr>
          <w:rFonts w:ascii="Avenir LT Std 65 Medium" w:hAnsi="Avenir LT Std 65 Medium"/>
          <w:b/>
          <w:color w:val="00558C"/>
          <w:sz w:val="20"/>
          <w:szCs w:val="20"/>
          <w:lang w:val="en-GB"/>
        </w:rPr>
      </w:pPr>
    </w:p>
    <w:tbl>
      <w:tblPr>
        <w:tblStyle w:val="Tabellrutnt"/>
        <w:tblW w:w="0" w:type="auto"/>
        <w:tblLook w:val="04A0" w:firstRow="1" w:lastRow="0" w:firstColumn="1" w:lastColumn="0" w:noHBand="0" w:noVBand="1"/>
      </w:tblPr>
      <w:tblGrid>
        <w:gridCol w:w="10234"/>
      </w:tblGrid>
      <w:tr w:rsidR="00993755" w:rsidRPr="00BF6545"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5" w:history="1">
              <w:r w:rsidRPr="00993755">
                <w:rPr>
                  <w:rStyle w:val="Hyperl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6" w:history="1">
              <w:r w:rsidRPr="00993755">
                <w:rPr>
                  <w:rStyle w:val="Hyperl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13395" w14:textId="77777777" w:rsidR="003A489C" w:rsidRDefault="003A489C" w:rsidP="008C27BF">
      <w:r>
        <w:separator/>
      </w:r>
    </w:p>
  </w:endnote>
  <w:endnote w:type="continuationSeparator" w:id="0">
    <w:p w14:paraId="4BAD0893" w14:textId="77777777" w:rsidR="003A489C" w:rsidRDefault="003A489C"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0F27" w14:textId="77777777" w:rsidR="00502E1E" w:rsidRDefault="00FC5DC6" w:rsidP="008C27BF">
    <w:pPr>
      <w:pStyle w:val="Sidfot"/>
    </w:pPr>
    <w:r w:rsidRPr="00442889">
      <w:rPr>
        <w:noProof/>
        <w:lang w:val="sv-SE" w:eastAsia="sv-SE"/>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Sidfot"/>
    </w:pPr>
  </w:p>
  <w:p w14:paraId="315D68F3" w14:textId="77777777" w:rsidR="00502E1E" w:rsidRDefault="00502E1E" w:rsidP="008C27BF">
    <w:pPr>
      <w:pStyle w:val="Sidfot"/>
    </w:pPr>
  </w:p>
  <w:p w14:paraId="67900419" w14:textId="77777777" w:rsidR="00502E1E" w:rsidRDefault="00502E1E" w:rsidP="008C27BF">
    <w:pPr>
      <w:pStyle w:val="Sidfot"/>
    </w:pPr>
  </w:p>
  <w:p w14:paraId="1AFA1A69" w14:textId="198B6640"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BF6545">
      <w:rPr>
        <w:noProof/>
      </w:rPr>
      <w:t>4</w:t>
    </w:r>
    <w:r w:rsidR="00913656" w:rsidRPr="006F0F7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481B2" w14:textId="77777777" w:rsidR="00502E1E" w:rsidRPr="00442889" w:rsidRDefault="001F0AEC" w:rsidP="008C27BF">
    <w:pPr>
      <w:pStyle w:val="Sidfot"/>
    </w:pPr>
    <w:r w:rsidRPr="00442889">
      <w:rPr>
        <w:noProof/>
        <w:lang w:val="sv-SE" w:eastAsia="sv-SE"/>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Sidfot"/>
    </w:pPr>
  </w:p>
  <w:p w14:paraId="035CAAAE" w14:textId="77777777" w:rsidR="00502E1E" w:rsidRPr="00442889" w:rsidRDefault="00502E1E" w:rsidP="008C27BF">
    <w:pPr>
      <w:pStyle w:val="Sidfot"/>
    </w:pPr>
  </w:p>
  <w:p w14:paraId="150C77D5" w14:textId="77777777" w:rsidR="00502E1E" w:rsidRPr="00442889" w:rsidRDefault="00502E1E" w:rsidP="008C27BF">
    <w:pPr>
      <w:pStyle w:val="Sidfot"/>
    </w:pPr>
  </w:p>
  <w:p w14:paraId="1A5DD6B6" w14:textId="77777777" w:rsidR="00AF533D" w:rsidRPr="00442889" w:rsidRDefault="00AF533D" w:rsidP="0093546B">
    <w:pPr>
      <w:pStyle w:val="Sidfo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BBD6E" w14:textId="77777777" w:rsidR="003A489C" w:rsidRDefault="003A489C" w:rsidP="008C27BF">
      <w:r>
        <w:separator/>
      </w:r>
    </w:p>
  </w:footnote>
  <w:footnote w:type="continuationSeparator" w:id="0">
    <w:p w14:paraId="7E18422D" w14:textId="77777777" w:rsidR="003A489C" w:rsidRDefault="003A489C" w:rsidP="008C2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C79E" w14:textId="77777777" w:rsidR="00502E1E" w:rsidRDefault="00AF533D" w:rsidP="008C27BF">
    <w:pPr>
      <w:pStyle w:val="Sidhuvud"/>
    </w:pPr>
    <w:r>
      <w:rPr>
        <w:noProof/>
        <w:lang w:val="sv-SE" w:eastAsia="sv-SE"/>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627D" w14:textId="77777777" w:rsidR="00502E1E" w:rsidRPr="00442889" w:rsidRDefault="00BC14BE" w:rsidP="008C27BF">
    <w:pPr>
      <w:pStyle w:val="Sidhuvud"/>
    </w:pPr>
    <w:r>
      <w:rPr>
        <w:noProof/>
        <w:lang w:val="sv-SE" w:eastAsia="sv-SE"/>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Sidhuvud"/>
    </w:pPr>
  </w:p>
  <w:p w14:paraId="1E433DCB" w14:textId="77777777" w:rsidR="00502E1E" w:rsidRPr="00442889" w:rsidRDefault="00502E1E" w:rsidP="008C27BF">
    <w:pPr>
      <w:pStyle w:val="Sidhuvud"/>
    </w:pPr>
  </w:p>
  <w:p w14:paraId="14A646A7" w14:textId="77777777" w:rsidR="00502E1E" w:rsidRPr="00442889" w:rsidRDefault="00502E1E" w:rsidP="00BC14BE">
    <w:pPr>
      <w:pStyle w:val="Sidhuvud"/>
      <w:jc w:val="center"/>
    </w:pPr>
  </w:p>
  <w:p w14:paraId="49F12718" w14:textId="77777777" w:rsidR="00502E1E" w:rsidRPr="00442889" w:rsidRDefault="00502E1E" w:rsidP="008C27BF">
    <w:pPr>
      <w:pStyle w:val="Sidhuvud"/>
    </w:pPr>
  </w:p>
  <w:p w14:paraId="4375A6ED" w14:textId="77777777" w:rsidR="008C27BF" w:rsidRDefault="008C27BF" w:rsidP="008C27BF">
    <w:pPr>
      <w:pStyle w:val="Sidhuvud"/>
    </w:pPr>
  </w:p>
  <w:p w14:paraId="13919875" w14:textId="77777777" w:rsidR="001A7381" w:rsidRPr="00442889" w:rsidRDefault="001A7381" w:rsidP="008C27BF">
    <w:pPr>
      <w:pStyle w:val="Sidhuvud"/>
    </w:pPr>
  </w:p>
  <w:p w14:paraId="5392897C" w14:textId="77777777" w:rsidR="00502E1E" w:rsidRDefault="00502E1E" w:rsidP="008C27BF">
    <w:pPr>
      <w:pStyle w:val="Sidhuvud"/>
      <w:spacing w:line="360" w:lineRule="exact"/>
    </w:pPr>
  </w:p>
  <w:p w14:paraId="37B130BD" w14:textId="77777777" w:rsidR="00E4007E" w:rsidRDefault="00E4007E" w:rsidP="008C27BF">
    <w:pPr>
      <w:pStyle w:val="Sidhuvud"/>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1DBF"/>
    <w:rsid w:val="001B20BB"/>
    <w:rsid w:val="001B48DC"/>
    <w:rsid w:val="001B7A84"/>
    <w:rsid w:val="001C296C"/>
    <w:rsid w:val="001D3547"/>
    <w:rsid w:val="001E7B66"/>
    <w:rsid w:val="001F0AEC"/>
    <w:rsid w:val="001F27FC"/>
    <w:rsid w:val="002055CE"/>
    <w:rsid w:val="00221D11"/>
    <w:rsid w:val="0023470C"/>
    <w:rsid w:val="00271BC9"/>
    <w:rsid w:val="00276AFF"/>
    <w:rsid w:val="002B605C"/>
    <w:rsid w:val="00316C7E"/>
    <w:rsid w:val="00317462"/>
    <w:rsid w:val="00334A2F"/>
    <w:rsid w:val="003A489C"/>
    <w:rsid w:val="003B29CC"/>
    <w:rsid w:val="003B41B6"/>
    <w:rsid w:val="003F10AC"/>
    <w:rsid w:val="004117D7"/>
    <w:rsid w:val="00432BE2"/>
    <w:rsid w:val="004408E7"/>
    <w:rsid w:val="00442889"/>
    <w:rsid w:val="00450EAA"/>
    <w:rsid w:val="00483CA7"/>
    <w:rsid w:val="004B5BDF"/>
    <w:rsid w:val="004D1C04"/>
    <w:rsid w:val="00502E1E"/>
    <w:rsid w:val="00527651"/>
    <w:rsid w:val="00562F66"/>
    <w:rsid w:val="00576D83"/>
    <w:rsid w:val="00581093"/>
    <w:rsid w:val="00584E35"/>
    <w:rsid w:val="00593ABD"/>
    <w:rsid w:val="005E4BDA"/>
    <w:rsid w:val="005E4CE5"/>
    <w:rsid w:val="005F6342"/>
    <w:rsid w:val="006025F5"/>
    <w:rsid w:val="00615AC7"/>
    <w:rsid w:val="006257EF"/>
    <w:rsid w:val="00630CBF"/>
    <w:rsid w:val="00637908"/>
    <w:rsid w:val="006568D2"/>
    <w:rsid w:val="006640DA"/>
    <w:rsid w:val="0068460C"/>
    <w:rsid w:val="006A75BE"/>
    <w:rsid w:val="006C3A4E"/>
    <w:rsid w:val="006F0F72"/>
    <w:rsid w:val="006F440A"/>
    <w:rsid w:val="007159B6"/>
    <w:rsid w:val="00726739"/>
    <w:rsid w:val="0073314A"/>
    <w:rsid w:val="007E398B"/>
    <w:rsid w:val="008550A6"/>
    <w:rsid w:val="00866ACC"/>
    <w:rsid w:val="008A6164"/>
    <w:rsid w:val="008C27BF"/>
    <w:rsid w:val="00911F7F"/>
    <w:rsid w:val="00913656"/>
    <w:rsid w:val="00915856"/>
    <w:rsid w:val="0093546B"/>
    <w:rsid w:val="009605EE"/>
    <w:rsid w:val="00967710"/>
    <w:rsid w:val="00993755"/>
    <w:rsid w:val="009A013D"/>
    <w:rsid w:val="009A33CB"/>
    <w:rsid w:val="009D3F2D"/>
    <w:rsid w:val="009E2F65"/>
    <w:rsid w:val="009F3943"/>
    <w:rsid w:val="00A15ED9"/>
    <w:rsid w:val="00A248C6"/>
    <w:rsid w:val="00A33365"/>
    <w:rsid w:val="00A658FA"/>
    <w:rsid w:val="00A801F0"/>
    <w:rsid w:val="00A95B26"/>
    <w:rsid w:val="00AA6DD9"/>
    <w:rsid w:val="00AC4B07"/>
    <w:rsid w:val="00AD6116"/>
    <w:rsid w:val="00AF45F2"/>
    <w:rsid w:val="00AF533D"/>
    <w:rsid w:val="00B15C02"/>
    <w:rsid w:val="00B339B5"/>
    <w:rsid w:val="00B424C1"/>
    <w:rsid w:val="00B42957"/>
    <w:rsid w:val="00BB63D0"/>
    <w:rsid w:val="00BC14BE"/>
    <w:rsid w:val="00BC58D3"/>
    <w:rsid w:val="00BC7F12"/>
    <w:rsid w:val="00BF6545"/>
    <w:rsid w:val="00C32E48"/>
    <w:rsid w:val="00C444B5"/>
    <w:rsid w:val="00C45E32"/>
    <w:rsid w:val="00CA2E49"/>
    <w:rsid w:val="00CC0A63"/>
    <w:rsid w:val="00D12E4A"/>
    <w:rsid w:val="00D41D37"/>
    <w:rsid w:val="00D91CBE"/>
    <w:rsid w:val="00DA63AC"/>
    <w:rsid w:val="00DB7B77"/>
    <w:rsid w:val="00DC0AE4"/>
    <w:rsid w:val="00DE4F43"/>
    <w:rsid w:val="00E32D31"/>
    <w:rsid w:val="00E4007E"/>
    <w:rsid w:val="00E57BFA"/>
    <w:rsid w:val="00E80C7F"/>
    <w:rsid w:val="00E83178"/>
    <w:rsid w:val="00E9080E"/>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6CD81D24-63BA-4413-BEBD-50B5B7A6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Rubrik1">
    <w:name w:val="heading 1"/>
    <w:basedOn w:val="Normal"/>
    <w:next w:val="Normal"/>
    <w:link w:val="Rubrik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Rubrik2">
    <w:name w:val="heading 2"/>
    <w:basedOn w:val="Normal"/>
    <w:next w:val="Normal"/>
    <w:link w:val="Rubrik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Rubrik3">
    <w:name w:val="heading 3"/>
    <w:basedOn w:val="Normal"/>
    <w:next w:val="Normal"/>
    <w:link w:val="Rubrik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Rubrik4">
    <w:name w:val="heading 4"/>
    <w:basedOn w:val="Normal"/>
    <w:next w:val="Normal"/>
    <w:link w:val="Rubrik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Rubrik5">
    <w:name w:val="heading 5"/>
    <w:basedOn w:val="Normal"/>
    <w:next w:val="Normal"/>
    <w:link w:val="Rubrik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BB63D0"/>
    <w:pPr>
      <w:spacing w:line="240" w:lineRule="exact"/>
    </w:pPr>
  </w:style>
  <w:style w:type="character" w:customStyle="1" w:styleId="SidhuvudChar">
    <w:name w:val="Sidhuvud Char"/>
    <w:basedOn w:val="Standardstycketeckensnitt"/>
    <w:link w:val="Sidhuvud"/>
    <w:uiPriority w:val="99"/>
    <w:rsid w:val="00BB63D0"/>
    <w:rPr>
      <w:sz w:val="20"/>
    </w:rPr>
  </w:style>
  <w:style w:type="paragraph" w:styleId="Sidfot">
    <w:name w:val="footer"/>
    <w:basedOn w:val="Normal"/>
    <w:link w:val="SidfotChar"/>
    <w:uiPriority w:val="99"/>
    <w:rsid w:val="00BB63D0"/>
    <w:pPr>
      <w:spacing w:line="240" w:lineRule="exact"/>
    </w:pPr>
  </w:style>
  <w:style w:type="character" w:customStyle="1" w:styleId="SidfotChar">
    <w:name w:val="Sidfot Char"/>
    <w:basedOn w:val="Standardstycketeckensnitt"/>
    <w:link w:val="Sidfot"/>
    <w:uiPriority w:val="99"/>
    <w:rsid w:val="00BB63D0"/>
    <w:rPr>
      <w:sz w:val="20"/>
    </w:rPr>
  </w:style>
  <w:style w:type="table" w:styleId="Tabellrutnt">
    <w:name w:val="Table Grid"/>
    <w:basedOn w:val="Normaltabell"/>
    <w:uiPriority w:val="39"/>
    <w:rsid w:val="00EB77C9"/>
    <w:pPr>
      <w:spacing w:line="240" w:lineRule="auto"/>
    </w:pPr>
    <w:tblPr>
      <w:tblCellMar>
        <w:left w:w="0" w:type="dxa"/>
        <w:right w:w="0" w:type="dxa"/>
      </w:tblCellMar>
    </w:tblPr>
  </w:style>
  <w:style w:type="paragraph" w:styleId="Ballongtext">
    <w:name w:val="Balloon Text"/>
    <w:basedOn w:val="Normal"/>
    <w:link w:val="BallongtextChar"/>
    <w:uiPriority w:val="99"/>
    <w:semiHidden/>
    <w:unhideWhenUsed/>
    <w:rsid w:val="00502E1E"/>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Standardstycketeckensnit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Avslutandetext">
    <w:name w:val="Closing"/>
    <w:basedOn w:val="Normal"/>
    <w:link w:val="AvslutandetextChar"/>
    <w:uiPriority w:val="99"/>
    <w:rsid w:val="00221D11"/>
    <w:rPr>
      <w:color w:val="E94E1B" w:themeColor="background2"/>
    </w:rPr>
  </w:style>
  <w:style w:type="character" w:customStyle="1" w:styleId="AvslutandetextChar">
    <w:name w:val="Avslutande text Char"/>
    <w:basedOn w:val="Standardstycketeckensnitt"/>
    <w:link w:val="Avslutandetext"/>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Standardstycketeckensnitt"/>
    <w:uiPriority w:val="1"/>
    <w:qFormat/>
    <w:rsid w:val="00C444B5"/>
    <w:rPr>
      <w:sz w:val="14"/>
      <w:szCs w:val="14"/>
    </w:rPr>
  </w:style>
  <w:style w:type="character" w:customStyle="1" w:styleId="Textebleu">
    <w:name w:val="Texte bleu"/>
    <w:basedOn w:val="Standardstycketeckensnitt"/>
    <w:uiPriority w:val="1"/>
    <w:qFormat/>
    <w:rsid w:val="00C444B5"/>
    <w:rPr>
      <w:color w:val="009FE3" w:themeColor="accent2"/>
      <w:lang w:val="fr-FR"/>
    </w:rPr>
  </w:style>
  <w:style w:type="character" w:customStyle="1" w:styleId="Rubrik1Char">
    <w:name w:val="Rubrik 1 Char"/>
    <w:basedOn w:val="Standardstycketeckensnitt"/>
    <w:link w:val="Rubrik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Rubrik2Char">
    <w:name w:val="Rubrik 2 Char"/>
    <w:basedOn w:val="Standardstycketeckensnitt"/>
    <w:link w:val="Rubrik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Rubrik3Char">
    <w:name w:val="Rubrik 3 Char"/>
    <w:basedOn w:val="Standardstycketeckensnitt"/>
    <w:link w:val="Rubrik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Rubrik4Char">
    <w:name w:val="Rubrik 4 Char"/>
    <w:basedOn w:val="Standardstycketeckensnitt"/>
    <w:link w:val="Rubrik4"/>
    <w:uiPriority w:val="9"/>
    <w:rsid w:val="00107894"/>
    <w:rPr>
      <w:rFonts w:eastAsiaTheme="majorEastAsia" w:cstheme="majorBidi"/>
      <w:b/>
      <w:bCs/>
      <w:iCs/>
      <w:color w:val="00558C" w:themeColor="accent1"/>
      <w:sz w:val="18"/>
      <w:szCs w:val="18"/>
      <w:lang w:val="en-GB"/>
    </w:rPr>
  </w:style>
  <w:style w:type="character" w:customStyle="1" w:styleId="Rubrik5Char">
    <w:name w:val="Rubrik 5 Char"/>
    <w:basedOn w:val="Standardstycketeckensnitt"/>
    <w:link w:val="Rubrik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Sidfot"/>
    <w:qFormat/>
    <w:rsid w:val="006F0F72"/>
    <w:pPr>
      <w:jc w:val="right"/>
    </w:pPr>
    <w:rPr>
      <w:color w:val="00558C" w:themeColor="accent1"/>
    </w:rPr>
  </w:style>
  <w:style w:type="character" w:styleId="Hyperlnk">
    <w:name w:val="Hyperlink"/>
    <w:basedOn w:val="Standardstycketeckensnitt"/>
    <w:uiPriority w:val="99"/>
    <w:unhideWhenUsed/>
    <w:rsid w:val="00993755"/>
    <w:rPr>
      <w:color w:val="000000" w:themeColor="hyperlink"/>
      <w:u w:val="single"/>
    </w:rPr>
  </w:style>
  <w:style w:type="character" w:styleId="Kommentarsreferens">
    <w:name w:val="annotation reference"/>
    <w:basedOn w:val="Standardstycketeckensnitt"/>
    <w:uiPriority w:val="99"/>
    <w:semiHidden/>
    <w:unhideWhenUsed/>
    <w:rsid w:val="00F830C5"/>
    <w:rPr>
      <w:sz w:val="18"/>
      <w:szCs w:val="18"/>
    </w:rPr>
  </w:style>
  <w:style w:type="paragraph" w:styleId="Kommentarer">
    <w:name w:val="annotation text"/>
    <w:basedOn w:val="Normal"/>
    <w:link w:val="KommentarerChar"/>
    <w:uiPriority w:val="99"/>
    <w:semiHidden/>
    <w:unhideWhenUsed/>
    <w:rsid w:val="00F830C5"/>
  </w:style>
  <w:style w:type="character" w:customStyle="1" w:styleId="KommentarerChar">
    <w:name w:val="Kommentarer Char"/>
    <w:basedOn w:val="Standardstycketeckensnitt"/>
    <w:link w:val="Kommentarer"/>
    <w:uiPriority w:val="99"/>
    <w:semiHidden/>
    <w:rsid w:val="00F830C5"/>
    <w:rPr>
      <w:rFonts w:asciiTheme="minorHAnsi" w:hAnsiTheme="minorHAnsi"/>
      <w:color w:val="575756"/>
      <w:sz w:val="18"/>
      <w:szCs w:val="18"/>
      <w:lang w:val="en-GB"/>
    </w:rPr>
  </w:style>
  <w:style w:type="paragraph" w:styleId="Kommentarsmne">
    <w:name w:val="annotation subject"/>
    <w:basedOn w:val="Kommentarer"/>
    <w:next w:val="Kommentarer"/>
    <w:link w:val="KommentarsmneChar"/>
    <w:uiPriority w:val="99"/>
    <w:semiHidden/>
    <w:unhideWhenUsed/>
    <w:rsid w:val="00F830C5"/>
    <w:rPr>
      <w:b/>
      <w:bCs/>
    </w:rPr>
  </w:style>
  <w:style w:type="character" w:customStyle="1" w:styleId="KommentarsmneChar">
    <w:name w:val="Kommentarsämne Char"/>
    <w:basedOn w:val="KommentarerChar"/>
    <w:link w:val="Kommentarsmn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76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redrik.karlsson@sjofartsverket.s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ontact@iala-aism.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uomas.martikainen@fta.f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883E3-BBD6-46CD-8047-C5DDCF16B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1184</Words>
  <Characters>6279</Characters>
  <Application>Microsoft Office Word</Application>
  <DocSecurity>0</DocSecurity>
  <Lines>52</Lines>
  <Paragraphs>14</Paragraphs>
  <ScaleCrop>false</ScaleCrop>
  <HeadingPairs>
    <vt:vector size="10" baseType="variant">
      <vt:variant>
        <vt:lpstr>Rubrik</vt:lpstr>
      </vt:variant>
      <vt:variant>
        <vt:i4>1</vt:i4>
      </vt:variant>
      <vt:variant>
        <vt:lpstr>Otsikko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5" baseType="lpstr">
      <vt:lpstr>IALA</vt:lpstr>
      <vt:lpstr>IALA</vt:lpstr>
      <vt:lpstr>IALA</vt:lpstr>
      <vt:lpstr>IALA</vt:lpstr>
      <vt:lpstr>IALA</vt:lpstr>
    </vt:vector>
  </TitlesOfParts>
  <Manager>IALA</Manager>
  <Company>IALA</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Siwe, Ulf</cp:lastModifiedBy>
  <cp:revision>3</cp:revision>
  <cp:lastPrinted>2016-11-02T11:55:00Z</cp:lastPrinted>
  <dcterms:created xsi:type="dcterms:W3CDTF">2017-03-30T12:39:00Z</dcterms:created>
  <dcterms:modified xsi:type="dcterms:W3CDTF">2017-03-30T12:53:00Z</dcterms:modified>
</cp:coreProperties>
</file>